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AC9" w:rsidRPr="009403F2" w:rsidRDefault="00B72D38" w:rsidP="00FE5AC9">
      <w:pPr>
        <w:jc w:val="center"/>
        <w:rPr>
          <w:rFonts w:ascii="Arial" w:hAnsi="Arial" w:cs="Arial"/>
          <w:b/>
        </w:rPr>
      </w:pPr>
      <w:r w:rsidRPr="00B72D38">
        <w:rPr>
          <w:rFonts w:ascii="Arial" w:hAnsi="Arial" w:cs="Arial"/>
          <w:b/>
          <w:color w:val="0070C0"/>
          <w:sz w:val="28"/>
          <w:szCs w:val="28"/>
        </w:rPr>
        <w:t xml:space="preserve">Návrh stanoviska Rady k materiálu „Analýza přínosů a dopadů </w:t>
      </w:r>
      <w:bookmarkStart w:id="0" w:name="_GoBack"/>
      <w:bookmarkEnd w:id="0"/>
      <w:r w:rsidRPr="00B72D38">
        <w:rPr>
          <w:rFonts w:ascii="Arial" w:hAnsi="Arial" w:cs="Arial"/>
          <w:b/>
          <w:color w:val="0070C0"/>
          <w:sz w:val="28"/>
          <w:szCs w:val="28"/>
        </w:rPr>
        <w:t>velkých výzkumných infrastruktur ČR“</w:t>
      </w:r>
    </w:p>
    <w:p w:rsidR="00CC370F" w:rsidRPr="00DE3852" w:rsidRDefault="00CC370F" w:rsidP="00153264">
      <w:pPr>
        <w:pBdr>
          <w:bottom w:val="single" w:sz="6" w:space="1" w:color="auto"/>
        </w:pBdr>
        <w:spacing w:before="120" w:after="480"/>
        <w:jc w:val="center"/>
        <w:rPr>
          <w:rFonts w:ascii="Arial" w:hAnsi="Arial" w:cs="Arial"/>
          <w:b/>
          <w:color w:val="0070C0"/>
          <w:sz w:val="30"/>
          <w:szCs w:val="30"/>
        </w:rPr>
      </w:pPr>
    </w:p>
    <w:p w:rsidR="00D34CFA" w:rsidRPr="00DE3852" w:rsidRDefault="00D34CFA" w:rsidP="00D34CFA">
      <w:pPr>
        <w:pStyle w:val="Odstavecseseznamem"/>
        <w:numPr>
          <w:ilvl w:val="0"/>
          <w:numId w:val="3"/>
        </w:numPr>
        <w:spacing w:after="120"/>
        <w:ind w:left="567" w:hanging="567"/>
        <w:jc w:val="both"/>
        <w:rPr>
          <w:rFonts w:ascii="Arial" w:hAnsi="Arial" w:cs="Arial"/>
        </w:rPr>
      </w:pPr>
      <w:r w:rsidRPr="00DE3852">
        <w:rPr>
          <w:rFonts w:ascii="Arial" w:hAnsi="Arial" w:cs="Arial"/>
          <w:b/>
          <w:color w:val="0070C0"/>
        </w:rPr>
        <w:t xml:space="preserve">Způsob předložení materiálu </w:t>
      </w:r>
    </w:p>
    <w:p w:rsidR="00FE5AC9" w:rsidRPr="00FE5AC9" w:rsidRDefault="002A36C0" w:rsidP="00FE5AC9">
      <w:pPr>
        <w:autoSpaceDE w:val="0"/>
        <w:autoSpaceDN w:val="0"/>
        <w:adjustRightInd w:val="0"/>
        <w:spacing w:after="120"/>
        <w:jc w:val="both"/>
        <w:rPr>
          <w:rFonts w:ascii="Arial" w:hAnsi="Arial" w:cs="Arial"/>
        </w:rPr>
      </w:pPr>
      <w:r>
        <w:rPr>
          <w:rFonts w:ascii="Arial" w:hAnsi="Arial" w:cs="Arial"/>
        </w:rPr>
        <w:t>Materiál „Analýza přínosů a dopadů velkých výzkumných infrastruktur ČR„</w:t>
      </w:r>
      <w:r w:rsidR="00C67CBD">
        <w:rPr>
          <w:rFonts w:ascii="Arial" w:hAnsi="Arial" w:cs="Arial"/>
        </w:rPr>
        <w:t xml:space="preserve"> </w:t>
      </w:r>
      <w:r>
        <w:rPr>
          <w:rFonts w:ascii="Arial" w:hAnsi="Arial" w:cs="Arial"/>
        </w:rPr>
        <w:t>(dále jen „Analýza“) zaslalo d</w:t>
      </w:r>
      <w:r w:rsidRPr="002A36C0">
        <w:rPr>
          <w:rFonts w:ascii="Arial" w:hAnsi="Arial" w:cs="Arial"/>
        </w:rPr>
        <w:t xml:space="preserve">opisem </w:t>
      </w:r>
      <w:proofErr w:type="gramStart"/>
      <w:r w:rsidRPr="002A36C0">
        <w:rPr>
          <w:rFonts w:ascii="Arial" w:hAnsi="Arial" w:cs="Arial"/>
        </w:rPr>
        <w:t>č.j.</w:t>
      </w:r>
      <w:proofErr w:type="gramEnd"/>
      <w:r w:rsidRPr="002A36C0">
        <w:rPr>
          <w:rFonts w:ascii="Arial" w:hAnsi="Arial" w:cs="Arial"/>
        </w:rPr>
        <w:t xml:space="preserve"> MSMT-759/2022-1 ze dne 13. ledna 2022 Ministerstvo školství, mládeže a tělovýchovy</w:t>
      </w:r>
      <w:r w:rsidR="009A4156">
        <w:rPr>
          <w:rFonts w:ascii="Arial" w:hAnsi="Arial" w:cs="Arial"/>
        </w:rPr>
        <w:t xml:space="preserve"> (dále jen „MŠMT)</w:t>
      </w:r>
      <w:r w:rsidRPr="002A36C0">
        <w:rPr>
          <w:rFonts w:ascii="Arial" w:hAnsi="Arial" w:cs="Arial"/>
        </w:rPr>
        <w:t xml:space="preserve"> Radě pro výzkum, vývoj a inovace (dále jen „Rada“)</w:t>
      </w:r>
      <w:r>
        <w:rPr>
          <w:rFonts w:ascii="Arial" w:hAnsi="Arial" w:cs="Arial"/>
        </w:rPr>
        <w:t xml:space="preserve">. Analýza byla zpracována </w:t>
      </w:r>
      <w:r w:rsidRPr="002A36C0">
        <w:rPr>
          <w:rFonts w:ascii="Arial" w:hAnsi="Arial" w:cs="Arial"/>
        </w:rPr>
        <w:t xml:space="preserve"> v rámci projektu sdílených činností </w:t>
      </w:r>
      <w:r w:rsidR="00C67CBD">
        <w:rPr>
          <w:rFonts w:ascii="Arial" w:hAnsi="Arial" w:cs="Arial"/>
        </w:rPr>
        <w:t> </w:t>
      </w:r>
      <w:r w:rsidR="00C67CBD" w:rsidRPr="002A36C0">
        <w:rPr>
          <w:rFonts w:ascii="Arial" w:hAnsi="Arial" w:cs="Arial"/>
        </w:rPr>
        <w:t>s</w:t>
      </w:r>
      <w:r w:rsidR="00C67CBD">
        <w:rPr>
          <w:rFonts w:ascii="Arial" w:hAnsi="Arial" w:cs="Arial"/>
        </w:rPr>
        <w:t> </w:t>
      </w:r>
      <w:r w:rsidRPr="002A36C0">
        <w:rPr>
          <w:rFonts w:ascii="Arial" w:hAnsi="Arial" w:cs="Arial"/>
        </w:rPr>
        <w:t>názvem „Strategická inteligence pro výzkum a inovace“ (</w:t>
      </w:r>
      <w:r w:rsidR="00631F7D">
        <w:rPr>
          <w:rFonts w:ascii="Arial" w:hAnsi="Arial" w:cs="Arial"/>
        </w:rPr>
        <w:t>dále jen „</w:t>
      </w:r>
      <w:r w:rsidRPr="002A36C0">
        <w:rPr>
          <w:rFonts w:ascii="Arial" w:hAnsi="Arial" w:cs="Arial"/>
        </w:rPr>
        <w:t>STRATIN+</w:t>
      </w:r>
      <w:r w:rsidR="00631F7D">
        <w:rPr>
          <w:rFonts w:ascii="Arial" w:hAnsi="Arial" w:cs="Arial"/>
        </w:rPr>
        <w:t>“</w:t>
      </w:r>
      <w:r w:rsidRPr="002A36C0">
        <w:rPr>
          <w:rFonts w:ascii="Arial" w:hAnsi="Arial" w:cs="Arial"/>
        </w:rPr>
        <w:t>).</w:t>
      </w:r>
    </w:p>
    <w:p w:rsidR="007F438A" w:rsidRPr="00DE3852" w:rsidRDefault="00B41629" w:rsidP="00FE5AC9">
      <w:pPr>
        <w:autoSpaceDE w:val="0"/>
        <w:autoSpaceDN w:val="0"/>
        <w:adjustRightInd w:val="0"/>
        <w:spacing w:after="120"/>
        <w:jc w:val="both"/>
        <w:rPr>
          <w:rFonts w:ascii="Arial" w:hAnsi="Arial" w:cs="Arial"/>
        </w:rPr>
      </w:pPr>
      <w:r>
        <w:rPr>
          <w:rFonts w:ascii="Arial" w:hAnsi="Arial" w:cs="Arial"/>
        </w:rPr>
        <w:t xml:space="preserve"> </w:t>
      </w:r>
    </w:p>
    <w:p w:rsidR="00D34CFA" w:rsidRPr="00DE3852" w:rsidRDefault="00D34CFA" w:rsidP="00D34CFA">
      <w:pPr>
        <w:pStyle w:val="Odstavecseseznamem"/>
        <w:numPr>
          <w:ilvl w:val="0"/>
          <w:numId w:val="3"/>
        </w:numPr>
        <w:spacing w:after="120"/>
        <w:ind w:left="567" w:hanging="567"/>
        <w:jc w:val="both"/>
        <w:rPr>
          <w:rFonts w:ascii="Arial" w:hAnsi="Arial" w:cs="Arial"/>
        </w:rPr>
      </w:pPr>
      <w:r w:rsidRPr="00DE3852">
        <w:rPr>
          <w:rFonts w:ascii="Arial" w:hAnsi="Arial" w:cs="Arial"/>
          <w:b/>
          <w:color w:val="0070C0"/>
        </w:rPr>
        <w:t xml:space="preserve">Projednání dokumentu Radou </w:t>
      </w:r>
    </w:p>
    <w:p w:rsidR="003535FD" w:rsidRDefault="009A4156" w:rsidP="003535FD">
      <w:pPr>
        <w:spacing w:after="120"/>
        <w:jc w:val="both"/>
        <w:rPr>
          <w:rFonts w:ascii="Arial" w:hAnsi="Arial" w:cs="Arial"/>
        </w:rPr>
      </w:pPr>
      <w:r>
        <w:rPr>
          <w:rFonts w:ascii="Arial" w:hAnsi="Arial" w:cs="Arial"/>
        </w:rPr>
        <w:t xml:space="preserve">Rada na svém 358. a 361. zasedání požádala MŠMT </w:t>
      </w:r>
      <w:r w:rsidRPr="009A4156">
        <w:rPr>
          <w:rFonts w:ascii="Arial" w:hAnsi="Arial" w:cs="Arial"/>
        </w:rPr>
        <w:t xml:space="preserve">o vyhodnocení velkých výzkumných infrastruktur ve vazbě na socioekonomické přínosy, včetně </w:t>
      </w:r>
      <w:r w:rsidR="00631F7D">
        <w:rPr>
          <w:rFonts w:ascii="Arial" w:hAnsi="Arial" w:cs="Arial"/>
        </w:rPr>
        <w:t>dopadu</w:t>
      </w:r>
      <w:r w:rsidR="00631F7D" w:rsidRPr="009A4156">
        <w:rPr>
          <w:rFonts w:ascii="Arial" w:hAnsi="Arial" w:cs="Arial"/>
        </w:rPr>
        <w:t xml:space="preserve"> </w:t>
      </w:r>
      <w:r w:rsidRPr="009A4156">
        <w:rPr>
          <w:rFonts w:ascii="Arial" w:hAnsi="Arial" w:cs="Arial"/>
        </w:rPr>
        <w:t>na jednotlivá odvětví a rozsah</w:t>
      </w:r>
      <w:r w:rsidR="00C67CBD">
        <w:rPr>
          <w:rFonts w:ascii="Arial" w:hAnsi="Arial" w:cs="Arial"/>
        </w:rPr>
        <w:t>u</w:t>
      </w:r>
      <w:r w:rsidRPr="009A4156">
        <w:rPr>
          <w:rFonts w:ascii="Arial" w:hAnsi="Arial" w:cs="Arial"/>
        </w:rPr>
        <w:t xml:space="preserve"> spolupráce s průmyslem.</w:t>
      </w:r>
      <w:r>
        <w:rPr>
          <w:rFonts w:ascii="Arial" w:hAnsi="Arial" w:cs="Arial"/>
        </w:rPr>
        <w:t xml:space="preserve"> Na </w:t>
      </w:r>
      <w:r w:rsidR="00BD4D3A">
        <w:rPr>
          <w:rFonts w:ascii="Arial" w:hAnsi="Arial" w:cs="Arial"/>
        </w:rPr>
        <w:t xml:space="preserve">svém </w:t>
      </w:r>
      <w:r>
        <w:rPr>
          <w:rFonts w:ascii="Arial" w:hAnsi="Arial" w:cs="Arial"/>
        </w:rPr>
        <w:t xml:space="preserve">368. zasedání požádala Rada v usnesení k bodu </w:t>
      </w:r>
      <w:r w:rsidR="00BD4D3A">
        <w:rPr>
          <w:rFonts w:ascii="Arial" w:hAnsi="Arial" w:cs="Arial"/>
        </w:rPr>
        <w:t>„</w:t>
      </w:r>
      <w:r>
        <w:rPr>
          <w:rFonts w:ascii="Arial" w:hAnsi="Arial" w:cs="Arial"/>
        </w:rPr>
        <w:t>B2) Vyhodnocení spolupráce velkých výzkumných infrastruktur s</w:t>
      </w:r>
      <w:r w:rsidR="00BD4D3A">
        <w:rPr>
          <w:rFonts w:ascii="Arial" w:hAnsi="Arial" w:cs="Arial"/>
        </w:rPr>
        <w:t> </w:t>
      </w:r>
      <w:r>
        <w:rPr>
          <w:rFonts w:ascii="Arial" w:hAnsi="Arial" w:cs="Arial"/>
        </w:rPr>
        <w:t>průmyslem</w:t>
      </w:r>
      <w:r w:rsidR="00BD4D3A">
        <w:rPr>
          <w:rFonts w:ascii="Arial" w:hAnsi="Arial" w:cs="Arial"/>
        </w:rPr>
        <w:t>“</w:t>
      </w:r>
      <w:r w:rsidR="00631F7D">
        <w:rPr>
          <w:rFonts w:ascii="Arial" w:hAnsi="Arial" w:cs="Arial"/>
        </w:rPr>
        <w:t xml:space="preserve"> </w:t>
      </w:r>
      <w:r>
        <w:rPr>
          <w:rFonts w:ascii="Arial" w:hAnsi="Arial" w:cs="Arial"/>
        </w:rPr>
        <w:t>MŠMT o to, aby</w:t>
      </w:r>
      <w:r w:rsidR="00631F7D">
        <w:rPr>
          <w:rFonts w:ascii="Arial" w:hAnsi="Arial" w:cs="Arial"/>
        </w:rPr>
        <w:t>:</w:t>
      </w:r>
      <w:r>
        <w:rPr>
          <w:rFonts w:ascii="Arial" w:hAnsi="Arial" w:cs="Arial"/>
        </w:rPr>
        <w:t xml:space="preserve"> </w:t>
      </w:r>
    </w:p>
    <w:p w:rsidR="009A4156" w:rsidRDefault="00BD4D3A" w:rsidP="009A4156">
      <w:pPr>
        <w:pStyle w:val="Odstavecseseznamem"/>
        <w:numPr>
          <w:ilvl w:val="0"/>
          <w:numId w:val="44"/>
        </w:numPr>
        <w:spacing w:after="120"/>
        <w:jc w:val="both"/>
        <w:rPr>
          <w:rFonts w:ascii="Arial" w:hAnsi="Arial" w:cs="Arial"/>
        </w:rPr>
      </w:pPr>
      <w:r>
        <w:rPr>
          <w:rFonts w:ascii="Arial" w:hAnsi="Arial" w:cs="Arial"/>
        </w:rPr>
        <w:t xml:space="preserve">před </w:t>
      </w:r>
      <w:r w:rsidR="009A4156" w:rsidRPr="009A4156">
        <w:rPr>
          <w:rFonts w:ascii="Arial" w:hAnsi="Arial" w:cs="Arial"/>
        </w:rPr>
        <w:t>započetím prací na přípravě metodického rámce pro analýzu socioekonomických přínosů a dopadů velkých výzkumných infrastruktur ve 2. pololetí roku 2021“ projednalo se zpravodajem Rady, Radou a Odborem Rady pro výzkum, vývoj a inovace problematiku socioekonomických dopadů velkých výzkumných infrastruktur v jejich celé oborové šíři, s přihlédnutím k různému charakteru velkých výzkumných infastruktur, a s využitím konkrétních údajů o jednotlivých velkých výzkumných infastrukturách,</w:t>
      </w:r>
    </w:p>
    <w:p w:rsidR="009A4156" w:rsidRDefault="00BD4D3A" w:rsidP="009A4156">
      <w:pPr>
        <w:pStyle w:val="Odstavecseseznamem"/>
        <w:numPr>
          <w:ilvl w:val="0"/>
          <w:numId w:val="44"/>
        </w:numPr>
        <w:spacing w:after="120"/>
        <w:jc w:val="both"/>
        <w:rPr>
          <w:rFonts w:ascii="Arial" w:hAnsi="Arial" w:cs="Arial"/>
        </w:rPr>
      </w:pPr>
      <w:r>
        <w:rPr>
          <w:rFonts w:ascii="Arial" w:hAnsi="Arial" w:cs="Arial"/>
        </w:rPr>
        <w:t xml:space="preserve">před </w:t>
      </w:r>
      <w:r w:rsidR="009A4156" w:rsidRPr="009A4156">
        <w:rPr>
          <w:rFonts w:ascii="Arial" w:hAnsi="Arial" w:cs="Arial"/>
        </w:rPr>
        <w:t>započetím prací na přípravě metodického rámce pro analýzu socioekonomických přínosů a dopadů velkých výzkumných infrastruktur ve 2. pololetí roku 2021“ projednalo se zpravodajem Rady, Radou a Odborem Rady pro výzkum, vývoj a inovace problematiku socioekonomických dopadů velkých výzkumných infrastruktur v jejich celé oborové šíři, s přihlédnutím k různému charakteru velkých výzkumných infastruktur, a s využitím konkrétních údajů o jednotlivých velkých výzkumných infastrukturách,</w:t>
      </w:r>
    </w:p>
    <w:p w:rsidR="009A4156" w:rsidRDefault="009A4156" w:rsidP="009A4156">
      <w:pPr>
        <w:pStyle w:val="Odstavecseseznamem"/>
        <w:numPr>
          <w:ilvl w:val="0"/>
          <w:numId w:val="44"/>
        </w:numPr>
        <w:spacing w:after="120"/>
        <w:jc w:val="both"/>
        <w:rPr>
          <w:rFonts w:ascii="Arial" w:hAnsi="Arial" w:cs="Arial"/>
        </w:rPr>
      </w:pPr>
      <w:r w:rsidRPr="009A4156">
        <w:rPr>
          <w:rFonts w:ascii="Arial" w:hAnsi="Arial" w:cs="Arial"/>
        </w:rPr>
        <w:t>při hodnocení stávajících i nových velkých výzkumných infrastruktur 2023+, zejména v této oblasti, kladlo i nadále velký důraz na rozsah spolupráce a hodnocení socioekonomických přínosů a dopadů s cílem postupně vyrovnat značné rozdíly v těchto přínosech mezi jednotlivými oblastmi.</w:t>
      </w:r>
    </w:p>
    <w:p w:rsidR="009A4156" w:rsidRDefault="009A4156" w:rsidP="009A4156">
      <w:pPr>
        <w:spacing w:after="120"/>
        <w:jc w:val="both"/>
        <w:rPr>
          <w:rFonts w:ascii="Arial" w:hAnsi="Arial" w:cs="Arial"/>
        </w:rPr>
      </w:pPr>
      <w:r>
        <w:rPr>
          <w:rFonts w:ascii="Arial" w:hAnsi="Arial" w:cs="Arial"/>
        </w:rPr>
        <w:t xml:space="preserve">Na 372. zasedání dne 27. října 2021 navrhla Rada v usnesení bodu </w:t>
      </w:r>
      <w:r w:rsidR="00631F7D">
        <w:rPr>
          <w:rFonts w:ascii="Arial" w:hAnsi="Arial" w:cs="Arial"/>
        </w:rPr>
        <w:t>„</w:t>
      </w:r>
      <w:r>
        <w:rPr>
          <w:rFonts w:ascii="Arial" w:hAnsi="Arial" w:cs="Arial"/>
        </w:rPr>
        <w:t xml:space="preserve">A4) </w:t>
      </w:r>
      <w:r w:rsidRPr="009A4156">
        <w:rPr>
          <w:rFonts w:ascii="Arial" w:hAnsi="Arial" w:cs="Arial"/>
        </w:rPr>
        <w:t xml:space="preserve">Velké výzkumné infrastruktury </w:t>
      </w:r>
      <w:r w:rsidR="00C67CBD">
        <w:rPr>
          <w:rFonts w:ascii="Arial" w:hAnsi="Arial" w:cs="Arial"/>
        </w:rPr>
        <w:t>–</w:t>
      </w:r>
      <w:r w:rsidR="00C67CBD" w:rsidRPr="009A4156">
        <w:rPr>
          <w:rFonts w:ascii="Arial" w:hAnsi="Arial" w:cs="Arial"/>
        </w:rPr>
        <w:t xml:space="preserve"> </w:t>
      </w:r>
      <w:r w:rsidRPr="009A4156">
        <w:rPr>
          <w:rFonts w:ascii="Arial" w:hAnsi="Arial" w:cs="Arial"/>
        </w:rPr>
        <w:t>Informace o výsledcích hodnocení mezinárodní hodnotící komise</w:t>
      </w:r>
      <w:r w:rsidR="00631F7D">
        <w:rPr>
          <w:rFonts w:ascii="Arial" w:hAnsi="Arial" w:cs="Arial"/>
        </w:rPr>
        <w:t>“</w:t>
      </w:r>
      <w:r>
        <w:rPr>
          <w:rFonts w:ascii="Arial" w:hAnsi="Arial" w:cs="Arial"/>
        </w:rPr>
        <w:t xml:space="preserve"> </w:t>
      </w:r>
      <w:r w:rsidRPr="009A4156">
        <w:rPr>
          <w:rFonts w:ascii="Arial" w:hAnsi="Arial" w:cs="Arial"/>
        </w:rPr>
        <w:t>uskutečnit v průběhu listopadu 2021 jednání se zástupci Rady k otázce socioekonomických dopadů velkých výzkumných infrastruktur pro českou společnost a ke způsobu budoucího hodnocení.</w:t>
      </w:r>
    </w:p>
    <w:p w:rsidR="00971FB9" w:rsidRDefault="00971FB9" w:rsidP="009A4156">
      <w:pPr>
        <w:spacing w:after="120"/>
        <w:jc w:val="both"/>
        <w:rPr>
          <w:rFonts w:ascii="Arial" w:hAnsi="Arial" w:cs="Arial"/>
        </w:rPr>
      </w:pPr>
      <w:r>
        <w:rPr>
          <w:rFonts w:ascii="Arial" w:hAnsi="Arial" w:cs="Arial"/>
        </w:rPr>
        <w:t xml:space="preserve">Radě je nyní předkládán Materiál Analýza přínosů a dopadů velkých výzkumných infrastruktur ČR“, který zpracovalo Technologické centrum AV ČR ve spolupráci s MŠMT. </w:t>
      </w:r>
    </w:p>
    <w:p w:rsidR="003535FD" w:rsidRPr="00DE3852" w:rsidRDefault="003535FD" w:rsidP="000351CE">
      <w:pPr>
        <w:spacing w:after="120"/>
        <w:jc w:val="both"/>
        <w:rPr>
          <w:rFonts w:ascii="Arial" w:hAnsi="Arial" w:cs="Arial"/>
        </w:rPr>
      </w:pPr>
    </w:p>
    <w:p w:rsidR="00D34CFA" w:rsidRPr="00DE3852" w:rsidRDefault="00D34CFA" w:rsidP="000351CE">
      <w:pPr>
        <w:pStyle w:val="Odstavecseseznamem"/>
        <w:numPr>
          <w:ilvl w:val="0"/>
          <w:numId w:val="3"/>
        </w:numPr>
        <w:spacing w:after="120"/>
        <w:ind w:left="567" w:hanging="567"/>
        <w:jc w:val="both"/>
        <w:rPr>
          <w:rFonts w:ascii="Arial" w:hAnsi="Arial" w:cs="Arial"/>
          <w:b/>
          <w:color w:val="0070C0"/>
        </w:rPr>
      </w:pPr>
      <w:r w:rsidRPr="00DE3852">
        <w:rPr>
          <w:rFonts w:ascii="Arial" w:hAnsi="Arial" w:cs="Arial"/>
          <w:b/>
          <w:color w:val="0070C0"/>
        </w:rPr>
        <w:t>K předloženému dokumentu</w:t>
      </w:r>
    </w:p>
    <w:p w:rsidR="00971FB9" w:rsidRDefault="00971FB9" w:rsidP="00971FB9">
      <w:pPr>
        <w:spacing w:after="120"/>
        <w:jc w:val="both"/>
        <w:rPr>
          <w:rFonts w:ascii="Arial" w:hAnsi="Arial" w:cs="Arial"/>
        </w:rPr>
      </w:pPr>
      <w:r w:rsidRPr="00971FB9">
        <w:rPr>
          <w:rFonts w:ascii="Arial" w:hAnsi="Arial" w:cs="Arial"/>
        </w:rPr>
        <w:t>Cílem předkládané Analýzy bylo posoudit přínosy a dopady velkých výzkumných infrastruktur</w:t>
      </w:r>
      <w:r w:rsidR="007C02E4">
        <w:rPr>
          <w:rFonts w:ascii="Arial" w:hAnsi="Arial" w:cs="Arial"/>
        </w:rPr>
        <w:t xml:space="preserve"> (dále jen „VVI“)</w:t>
      </w:r>
      <w:r w:rsidRPr="00971FB9">
        <w:rPr>
          <w:rFonts w:ascii="Arial" w:hAnsi="Arial" w:cs="Arial"/>
        </w:rPr>
        <w:t xml:space="preserve"> uvedených na Cestovní mapě velkých výzkumných infrastruktur ČR pro léta 2016 až 2022, aktualizované v roce 2019 (dále jen „Cestovní mapa VVI ČR 2019“), a to jak, co do přínosů pro výzkumnou komunitu, tak dopadů na další sektorové oblasti a českou ekonomiku a společnost obecně.</w:t>
      </w:r>
    </w:p>
    <w:p w:rsidR="007C02E4" w:rsidRDefault="007C02E4" w:rsidP="007C02E4">
      <w:pPr>
        <w:spacing w:after="120"/>
        <w:jc w:val="both"/>
        <w:rPr>
          <w:rFonts w:ascii="Arial" w:hAnsi="Arial" w:cs="Arial"/>
        </w:rPr>
      </w:pPr>
      <w:r>
        <w:rPr>
          <w:rFonts w:ascii="Arial" w:hAnsi="Arial" w:cs="Arial"/>
        </w:rPr>
        <w:t>Jak uvádí Technologické centrum</w:t>
      </w:r>
      <w:r w:rsidR="00DA3FD8">
        <w:rPr>
          <w:rFonts w:ascii="Arial" w:hAnsi="Arial" w:cs="Arial"/>
        </w:rPr>
        <w:t>, a</w:t>
      </w:r>
      <w:r w:rsidRPr="007C02E4">
        <w:rPr>
          <w:rFonts w:ascii="Arial" w:hAnsi="Arial" w:cs="Arial"/>
        </w:rPr>
        <w:t xml:space="preserve">mbicí analýzy nicméně není a ani být nemůže poskytnout robustní evaluaci socioekonomických přínosů a dopadů velkých výzkumných infrastruktur v ČR. Takováto evaluace vyžaduje systematický </w:t>
      </w:r>
      <w:r w:rsidR="00CA0AA5" w:rsidRPr="007C02E4">
        <w:rPr>
          <w:rFonts w:ascii="Arial" w:hAnsi="Arial" w:cs="Arial"/>
        </w:rPr>
        <w:t>a</w:t>
      </w:r>
      <w:r w:rsidR="00CA0AA5">
        <w:rPr>
          <w:rFonts w:ascii="Arial" w:hAnsi="Arial" w:cs="Arial"/>
        </w:rPr>
        <w:t> </w:t>
      </w:r>
      <w:r w:rsidRPr="007C02E4">
        <w:rPr>
          <w:rFonts w:ascii="Arial" w:hAnsi="Arial" w:cs="Arial"/>
        </w:rPr>
        <w:t>dlouhodobý sběr informací a dat ve spolupráci s jednotlivými výzkumnými infrastrukturami a uživateli velkých výzkumných infrastruktur a jejich provázání na informace a data dostupná z dalších sektorových oblastí, dále kvalitativní šetření a ze všeho nejvíce metodický rámec komplexní povahy,</w:t>
      </w:r>
      <w:r w:rsidRPr="007C02E4">
        <w:t xml:space="preserve"> </w:t>
      </w:r>
      <w:r w:rsidRPr="007C02E4">
        <w:rPr>
          <w:rFonts w:ascii="Arial" w:hAnsi="Arial" w:cs="Arial"/>
        </w:rPr>
        <w:t>který by všechny tyto aspekty zohlednil.</w:t>
      </w:r>
    </w:p>
    <w:p w:rsidR="00971FB9" w:rsidRDefault="008F5C58" w:rsidP="00971FB9">
      <w:pPr>
        <w:spacing w:after="120"/>
        <w:jc w:val="both"/>
        <w:rPr>
          <w:rFonts w:ascii="Arial" w:hAnsi="Arial" w:cs="Arial"/>
        </w:rPr>
      </w:pPr>
      <w:r>
        <w:rPr>
          <w:rFonts w:ascii="Arial" w:hAnsi="Arial" w:cs="Arial"/>
        </w:rPr>
        <w:t xml:space="preserve">Při vyhodnocení přínosů a dopadů </w:t>
      </w:r>
      <w:r w:rsidR="007C02E4">
        <w:rPr>
          <w:rFonts w:ascii="Arial" w:hAnsi="Arial" w:cs="Arial"/>
        </w:rPr>
        <w:t>VVI</w:t>
      </w:r>
      <w:r>
        <w:rPr>
          <w:rFonts w:ascii="Arial" w:hAnsi="Arial" w:cs="Arial"/>
        </w:rPr>
        <w:t xml:space="preserve"> byly zohledněnu jejich rozdílné atributy v těchto oblastech:</w:t>
      </w:r>
    </w:p>
    <w:p w:rsidR="008F5C58" w:rsidRDefault="008F5C58" w:rsidP="008F5C58">
      <w:pPr>
        <w:pStyle w:val="Odstavecseseznamem"/>
        <w:numPr>
          <w:ilvl w:val="0"/>
          <w:numId w:val="44"/>
        </w:numPr>
        <w:spacing w:after="120"/>
        <w:jc w:val="both"/>
        <w:rPr>
          <w:rFonts w:ascii="Arial" w:hAnsi="Arial" w:cs="Arial"/>
        </w:rPr>
      </w:pPr>
      <w:r>
        <w:rPr>
          <w:rFonts w:ascii="Arial" w:hAnsi="Arial" w:cs="Arial"/>
        </w:rPr>
        <w:t>Umístění (ČR nebo zahraničí)</w:t>
      </w:r>
    </w:p>
    <w:p w:rsidR="008F5C58" w:rsidRDefault="008F5C58" w:rsidP="008F5C58">
      <w:pPr>
        <w:pStyle w:val="Odstavecseseznamem"/>
        <w:numPr>
          <w:ilvl w:val="0"/>
          <w:numId w:val="44"/>
        </w:numPr>
        <w:spacing w:after="120"/>
        <w:jc w:val="both"/>
        <w:rPr>
          <w:rFonts w:ascii="Arial" w:hAnsi="Arial" w:cs="Arial"/>
        </w:rPr>
      </w:pPr>
      <w:r>
        <w:rPr>
          <w:rFonts w:ascii="Arial" w:hAnsi="Arial" w:cs="Arial"/>
        </w:rPr>
        <w:t>Charakter (single-</w:t>
      </w:r>
      <w:proofErr w:type="spellStart"/>
      <w:r>
        <w:rPr>
          <w:rFonts w:ascii="Arial" w:hAnsi="Arial" w:cs="Arial"/>
        </w:rPr>
        <w:t>sited</w:t>
      </w:r>
      <w:proofErr w:type="spellEnd"/>
      <w:r>
        <w:rPr>
          <w:rFonts w:ascii="Arial" w:hAnsi="Arial" w:cs="Arial"/>
        </w:rPr>
        <w:t>, distribuovaná, virtuální)</w:t>
      </w:r>
    </w:p>
    <w:p w:rsidR="008F5C58" w:rsidRDefault="008F5C58" w:rsidP="008F5C58">
      <w:pPr>
        <w:pStyle w:val="Odstavecseseznamem"/>
        <w:numPr>
          <w:ilvl w:val="0"/>
          <w:numId w:val="44"/>
        </w:numPr>
        <w:spacing w:after="120"/>
        <w:jc w:val="both"/>
        <w:rPr>
          <w:rFonts w:ascii="Arial" w:hAnsi="Arial" w:cs="Arial"/>
        </w:rPr>
      </w:pPr>
      <w:r>
        <w:rPr>
          <w:rFonts w:ascii="Arial" w:hAnsi="Arial" w:cs="Arial"/>
        </w:rPr>
        <w:t>Fáze realizace (přípravná, konstrukční, provozní)</w:t>
      </w:r>
    </w:p>
    <w:p w:rsidR="008F5C58" w:rsidRDefault="008F5C58" w:rsidP="008F5C58">
      <w:pPr>
        <w:pStyle w:val="Odstavecseseznamem"/>
        <w:numPr>
          <w:ilvl w:val="0"/>
          <w:numId w:val="44"/>
        </w:numPr>
        <w:spacing w:after="120"/>
        <w:jc w:val="both"/>
        <w:rPr>
          <w:rFonts w:ascii="Arial" w:hAnsi="Arial" w:cs="Arial"/>
        </w:rPr>
      </w:pPr>
      <w:r>
        <w:rPr>
          <w:rFonts w:ascii="Arial" w:hAnsi="Arial" w:cs="Arial"/>
        </w:rPr>
        <w:t>Oborové zaměření</w:t>
      </w:r>
    </w:p>
    <w:p w:rsidR="008F5C58" w:rsidRDefault="007C02E4" w:rsidP="008F5C58">
      <w:pPr>
        <w:spacing w:after="120"/>
        <w:jc w:val="both"/>
        <w:rPr>
          <w:rFonts w:ascii="Arial" w:hAnsi="Arial" w:cs="Arial"/>
        </w:rPr>
      </w:pPr>
      <w:r>
        <w:rPr>
          <w:rFonts w:ascii="Arial" w:hAnsi="Arial" w:cs="Arial"/>
        </w:rPr>
        <w:t>V návaznosti na výše uvedené byly pro účely Analýzy velké výzkumné infrastruktury rozděleny do 5 skupin:</w:t>
      </w:r>
    </w:p>
    <w:p w:rsidR="007C02E4" w:rsidRDefault="007C02E4" w:rsidP="007C02E4">
      <w:pPr>
        <w:pStyle w:val="Odstavecseseznamem"/>
        <w:numPr>
          <w:ilvl w:val="0"/>
          <w:numId w:val="44"/>
        </w:numPr>
        <w:spacing w:after="120"/>
        <w:jc w:val="both"/>
        <w:rPr>
          <w:rFonts w:ascii="Arial" w:hAnsi="Arial" w:cs="Arial"/>
        </w:rPr>
      </w:pPr>
      <w:r>
        <w:rPr>
          <w:rFonts w:ascii="Arial" w:hAnsi="Arial" w:cs="Arial"/>
        </w:rPr>
        <w:t>VVI mimo ČR (13)</w:t>
      </w:r>
    </w:p>
    <w:p w:rsidR="007C02E4" w:rsidRDefault="00631F7D" w:rsidP="00631F7D">
      <w:pPr>
        <w:pStyle w:val="Odstavecseseznamem"/>
        <w:numPr>
          <w:ilvl w:val="0"/>
          <w:numId w:val="44"/>
        </w:numPr>
        <w:spacing w:after="120"/>
        <w:jc w:val="both"/>
        <w:rPr>
          <w:rFonts w:ascii="Arial" w:hAnsi="Arial" w:cs="Arial"/>
        </w:rPr>
      </w:pPr>
      <w:r w:rsidRPr="00631F7D">
        <w:rPr>
          <w:rFonts w:ascii="Arial" w:hAnsi="Arial" w:cs="Arial"/>
        </w:rPr>
        <w:t>VVI v oblasti fyzikálních a technických věd umístěné v ČR</w:t>
      </w:r>
      <w:r w:rsidR="007C02E4">
        <w:rPr>
          <w:rFonts w:ascii="Arial" w:hAnsi="Arial" w:cs="Arial"/>
        </w:rPr>
        <w:t xml:space="preserve"> (12)</w:t>
      </w:r>
    </w:p>
    <w:p w:rsidR="007C02E4" w:rsidRDefault="00631F7D" w:rsidP="00631F7D">
      <w:pPr>
        <w:pStyle w:val="Odstavecseseznamem"/>
        <w:numPr>
          <w:ilvl w:val="0"/>
          <w:numId w:val="44"/>
        </w:numPr>
        <w:spacing w:after="120"/>
        <w:jc w:val="both"/>
        <w:rPr>
          <w:rFonts w:ascii="Arial" w:hAnsi="Arial" w:cs="Arial"/>
        </w:rPr>
      </w:pPr>
      <w:r w:rsidRPr="00631F7D">
        <w:rPr>
          <w:rFonts w:ascii="Arial" w:hAnsi="Arial" w:cs="Arial"/>
        </w:rPr>
        <w:t xml:space="preserve">VVI v oblasti </w:t>
      </w:r>
      <w:proofErr w:type="spellStart"/>
      <w:r w:rsidRPr="00631F7D">
        <w:rPr>
          <w:rFonts w:ascii="Arial" w:hAnsi="Arial" w:cs="Arial"/>
        </w:rPr>
        <w:t>biověd</w:t>
      </w:r>
      <w:proofErr w:type="spellEnd"/>
      <w:r w:rsidRPr="00631F7D">
        <w:rPr>
          <w:rFonts w:ascii="Arial" w:hAnsi="Arial" w:cs="Arial"/>
        </w:rPr>
        <w:t xml:space="preserve"> umístěné v ČR</w:t>
      </w:r>
      <w:r w:rsidRPr="00631F7D" w:rsidDel="00631F7D">
        <w:rPr>
          <w:rFonts w:ascii="Arial" w:hAnsi="Arial" w:cs="Arial"/>
        </w:rPr>
        <w:t xml:space="preserve"> </w:t>
      </w:r>
      <w:r w:rsidR="007C02E4">
        <w:rPr>
          <w:rFonts w:ascii="Arial" w:hAnsi="Arial" w:cs="Arial"/>
        </w:rPr>
        <w:t>(15)</w:t>
      </w:r>
    </w:p>
    <w:p w:rsidR="007C02E4" w:rsidRDefault="00631F7D" w:rsidP="00631F7D">
      <w:pPr>
        <w:pStyle w:val="Odstavecseseznamem"/>
        <w:numPr>
          <w:ilvl w:val="0"/>
          <w:numId w:val="44"/>
        </w:numPr>
        <w:spacing w:after="120"/>
        <w:jc w:val="both"/>
        <w:rPr>
          <w:rFonts w:ascii="Arial" w:hAnsi="Arial" w:cs="Arial"/>
        </w:rPr>
      </w:pPr>
      <w:r w:rsidRPr="00631F7D">
        <w:rPr>
          <w:rFonts w:ascii="Arial" w:hAnsi="Arial" w:cs="Arial"/>
        </w:rPr>
        <w:t>VVI v oblasti společenských a humanitních věd umístěné v ČR</w:t>
      </w:r>
      <w:r w:rsidRPr="00631F7D" w:rsidDel="00631F7D">
        <w:rPr>
          <w:rFonts w:ascii="Arial" w:hAnsi="Arial" w:cs="Arial"/>
        </w:rPr>
        <w:t xml:space="preserve"> </w:t>
      </w:r>
      <w:r w:rsidR="007C02E4">
        <w:rPr>
          <w:rFonts w:ascii="Arial" w:hAnsi="Arial" w:cs="Arial"/>
        </w:rPr>
        <w:t>(7)</w:t>
      </w:r>
    </w:p>
    <w:p w:rsidR="007C02E4" w:rsidRDefault="00631F7D" w:rsidP="00631F7D">
      <w:pPr>
        <w:pStyle w:val="Odstavecseseznamem"/>
        <w:numPr>
          <w:ilvl w:val="0"/>
          <w:numId w:val="44"/>
        </w:numPr>
        <w:spacing w:after="120"/>
        <w:jc w:val="both"/>
        <w:rPr>
          <w:rFonts w:ascii="Arial" w:hAnsi="Arial" w:cs="Arial"/>
        </w:rPr>
      </w:pPr>
      <w:proofErr w:type="gramStart"/>
      <w:r w:rsidRPr="00631F7D">
        <w:rPr>
          <w:rFonts w:ascii="Arial" w:hAnsi="Arial" w:cs="Arial"/>
        </w:rPr>
        <w:t>E–infrastruktury</w:t>
      </w:r>
      <w:proofErr w:type="gramEnd"/>
      <w:r w:rsidRPr="00631F7D">
        <w:rPr>
          <w:rFonts w:ascii="Arial" w:hAnsi="Arial" w:cs="Arial"/>
        </w:rPr>
        <w:t xml:space="preserve"> umístěné v ČR</w:t>
      </w:r>
      <w:r w:rsidRPr="00631F7D" w:rsidDel="00631F7D">
        <w:rPr>
          <w:rFonts w:ascii="Arial" w:hAnsi="Arial" w:cs="Arial"/>
        </w:rPr>
        <w:t xml:space="preserve"> </w:t>
      </w:r>
      <w:r w:rsidR="007C02E4">
        <w:rPr>
          <w:rFonts w:ascii="Arial" w:hAnsi="Arial" w:cs="Arial"/>
        </w:rPr>
        <w:t>(1)</w:t>
      </w:r>
    </w:p>
    <w:p w:rsidR="007C02E4" w:rsidRDefault="007C02E4" w:rsidP="007C02E4">
      <w:pPr>
        <w:spacing w:after="120"/>
        <w:jc w:val="both"/>
        <w:rPr>
          <w:rFonts w:ascii="Arial" w:hAnsi="Arial" w:cs="Arial"/>
        </w:rPr>
      </w:pPr>
      <w:r>
        <w:rPr>
          <w:rFonts w:ascii="Arial" w:hAnsi="Arial" w:cs="Arial"/>
        </w:rPr>
        <w:t>Pro každou skupinu byly sledovány následující oblasti dopadů VVI:</w:t>
      </w:r>
    </w:p>
    <w:p w:rsidR="007C02E4" w:rsidRDefault="007C02E4" w:rsidP="007C02E4">
      <w:pPr>
        <w:pStyle w:val="Odstavecseseznamem"/>
        <w:numPr>
          <w:ilvl w:val="0"/>
          <w:numId w:val="44"/>
        </w:numPr>
        <w:spacing w:after="120"/>
        <w:jc w:val="both"/>
        <w:rPr>
          <w:rFonts w:ascii="Arial" w:hAnsi="Arial" w:cs="Arial"/>
        </w:rPr>
      </w:pPr>
      <w:r w:rsidRPr="007C02E4">
        <w:rPr>
          <w:rFonts w:ascii="Arial" w:hAnsi="Arial" w:cs="Arial"/>
        </w:rPr>
        <w:t>Přínosy a dopady, co do rozvoje výzkumu a vědecké excelence</w:t>
      </w:r>
    </w:p>
    <w:p w:rsidR="007C02E4" w:rsidRDefault="007C02E4" w:rsidP="007C02E4">
      <w:pPr>
        <w:pStyle w:val="Odstavecseseznamem"/>
        <w:numPr>
          <w:ilvl w:val="0"/>
          <w:numId w:val="44"/>
        </w:numPr>
        <w:spacing w:after="120"/>
        <w:jc w:val="both"/>
        <w:rPr>
          <w:rFonts w:ascii="Arial" w:hAnsi="Arial" w:cs="Arial"/>
        </w:rPr>
      </w:pPr>
      <w:r w:rsidRPr="007C02E4">
        <w:rPr>
          <w:rFonts w:ascii="Arial" w:hAnsi="Arial" w:cs="Arial"/>
        </w:rPr>
        <w:t>Přínosy a dopady na rozvoj lidských zdrojů pro výzkum, vývoj a inovace</w:t>
      </w:r>
    </w:p>
    <w:p w:rsidR="007C02E4" w:rsidRDefault="007C02E4" w:rsidP="007C02E4">
      <w:pPr>
        <w:pStyle w:val="Odstavecseseznamem"/>
        <w:numPr>
          <w:ilvl w:val="0"/>
          <w:numId w:val="44"/>
        </w:numPr>
        <w:spacing w:after="120"/>
        <w:jc w:val="both"/>
        <w:rPr>
          <w:rFonts w:ascii="Arial" w:hAnsi="Arial" w:cs="Arial"/>
        </w:rPr>
      </w:pPr>
      <w:r w:rsidRPr="007C02E4">
        <w:rPr>
          <w:rFonts w:ascii="Arial" w:hAnsi="Arial" w:cs="Arial"/>
        </w:rPr>
        <w:t>Přímé ekonomické přínosy a dopady</w:t>
      </w:r>
    </w:p>
    <w:p w:rsidR="007C02E4" w:rsidRDefault="007C02E4" w:rsidP="007C02E4">
      <w:pPr>
        <w:pStyle w:val="Odstavecseseznamem"/>
        <w:numPr>
          <w:ilvl w:val="0"/>
          <w:numId w:val="44"/>
        </w:numPr>
        <w:spacing w:after="120"/>
        <w:jc w:val="both"/>
        <w:rPr>
          <w:rFonts w:ascii="Arial" w:hAnsi="Arial" w:cs="Arial"/>
        </w:rPr>
      </w:pPr>
      <w:r w:rsidRPr="007C02E4">
        <w:rPr>
          <w:rFonts w:ascii="Arial" w:hAnsi="Arial" w:cs="Arial"/>
        </w:rPr>
        <w:t>Přímé společenské přínosy a dopady</w:t>
      </w:r>
    </w:p>
    <w:p w:rsidR="00631F7D" w:rsidRDefault="00DA3FD8" w:rsidP="00631F7D">
      <w:pPr>
        <w:spacing w:after="120"/>
        <w:jc w:val="both"/>
        <w:rPr>
          <w:rFonts w:ascii="Arial" w:hAnsi="Arial" w:cs="Arial"/>
        </w:rPr>
      </w:pPr>
      <w:r>
        <w:rPr>
          <w:rFonts w:ascii="Arial" w:hAnsi="Arial" w:cs="Arial"/>
        </w:rPr>
        <w:t>Závěr Analýzy obsahuje celkové hodnocení výsledků všech výše jmenovaných skupin VVI. V závěru jsou rovněž doporučeny další kroky, konkrétně</w:t>
      </w:r>
      <w:r w:rsidR="00CA0AA5">
        <w:rPr>
          <w:rFonts w:ascii="Arial" w:hAnsi="Arial" w:cs="Arial"/>
        </w:rPr>
        <w:t>:</w:t>
      </w:r>
      <w:r>
        <w:rPr>
          <w:rFonts w:ascii="Arial" w:hAnsi="Arial" w:cs="Arial"/>
        </w:rPr>
        <w:t xml:space="preserve"> „</w:t>
      </w:r>
      <w:r w:rsidRPr="00DA3FD8">
        <w:rPr>
          <w:rFonts w:ascii="Arial" w:hAnsi="Arial" w:cs="Arial"/>
        </w:rPr>
        <w:t xml:space="preserve">vytvoření vhodné metodiky a indikátorové soustavy pro evaluaci </w:t>
      </w:r>
      <w:proofErr w:type="spellStart"/>
      <w:r w:rsidRPr="00DA3FD8">
        <w:rPr>
          <w:rFonts w:ascii="Arial" w:hAnsi="Arial" w:cs="Arial"/>
        </w:rPr>
        <w:t>socio</w:t>
      </w:r>
      <w:proofErr w:type="spellEnd"/>
      <w:r w:rsidRPr="00DA3FD8">
        <w:rPr>
          <w:rFonts w:ascii="Arial" w:hAnsi="Arial" w:cs="Arial"/>
        </w:rPr>
        <w:t xml:space="preserve">-ekonomických dopadů VVI respektující jejich rozdílné role, poskytované služby a zaměření. Současně bude ve spolupráci s VVI nastaven systém pro dlouhodobé sledování indikátorů relevantních pro posuzování </w:t>
      </w:r>
      <w:proofErr w:type="spellStart"/>
      <w:r w:rsidRPr="00DA3FD8">
        <w:rPr>
          <w:rFonts w:ascii="Arial" w:hAnsi="Arial" w:cs="Arial"/>
        </w:rPr>
        <w:t>socio</w:t>
      </w:r>
      <w:proofErr w:type="spellEnd"/>
      <w:r w:rsidRPr="00DA3FD8">
        <w:rPr>
          <w:rFonts w:ascii="Arial" w:hAnsi="Arial" w:cs="Arial"/>
        </w:rPr>
        <w:t>-ekonomických dopadů jednotlivých VVI. Vytvoření takové metodiky je zařazeno mezi aktivity projektu sdílených činností STRATIN+ na rok 2022</w:t>
      </w:r>
      <w:r>
        <w:rPr>
          <w:rFonts w:ascii="Arial" w:hAnsi="Arial" w:cs="Arial"/>
        </w:rPr>
        <w:t>“</w:t>
      </w:r>
      <w:r w:rsidRPr="00DA3FD8">
        <w:rPr>
          <w:rFonts w:ascii="Arial" w:hAnsi="Arial" w:cs="Arial"/>
        </w:rPr>
        <w:t>.</w:t>
      </w:r>
    </w:p>
    <w:p w:rsidR="00631F7D" w:rsidRPr="00DA3FD8" w:rsidRDefault="00631F7D" w:rsidP="00631F7D">
      <w:pPr>
        <w:spacing w:after="120"/>
        <w:jc w:val="both"/>
        <w:rPr>
          <w:rFonts w:ascii="Arial" w:hAnsi="Arial" w:cs="Arial"/>
        </w:rPr>
      </w:pPr>
      <w:r w:rsidRPr="00631F7D">
        <w:rPr>
          <w:rFonts w:ascii="Arial" w:hAnsi="Arial" w:cs="Arial"/>
        </w:rPr>
        <w:t xml:space="preserve">V příloze č. 1 </w:t>
      </w:r>
      <w:r w:rsidR="00BD4D3A">
        <w:rPr>
          <w:rFonts w:ascii="Arial" w:hAnsi="Arial" w:cs="Arial"/>
        </w:rPr>
        <w:t xml:space="preserve">Analýzy </w:t>
      </w:r>
      <w:r w:rsidRPr="00631F7D">
        <w:rPr>
          <w:rFonts w:ascii="Arial" w:hAnsi="Arial" w:cs="Arial"/>
        </w:rPr>
        <w:t>jsou uvedeny karty jednotlivých velkých výzkumných infrastruktur ČR.</w:t>
      </w:r>
      <w:r w:rsidR="00BD4D3A">
        <w:rPr>
          <w:rFonts w:ascii="Arial" w:hAnsi="Arial" w:cs="Arial"/>
        </w:rPr>
        <w:t xml:space="preserve"> </w:t>
      </w:r>
      <w:r w:rsidRPr="00631F7D">
        <w:rPr>
          <w:rFonts w:ascii="Arial" w:hAnsi="Arial" w:cs="Arial"/>
        </w:rPr>
        <w:t>Karty jsou řazeny podle uvedených skupin VVI a v rámci jednotlivých skupin jsou řazeny abecedně dle akronymů VV</w:t>
      </w:r>
    </w:p>
    <w:p w:rsidR="007C02E4" w:rsidRPr="007C02E4" w:rsidRDefault="007C02E4" w:rsidP="007C02E4">
      <w:pPr>
        <w:spacing w:after="120"/>
        <w:jc w:val="both"/>
        <w:rPr>
          <w:rFonts w:ascii="Arial" w:hAnsi="Arial" w:cs="Arial"/>
        </w:rPr>
      </w:pPr>
    </w:p>
    <w:p w:rsidR="00E63066" w:rsidRPr="004B0112" w:rsidRDefault="00E63066" w:rsidP="004B0112">
      <w:pPr>
        <w:autoSpaceDE w:val="0"/>
        <w:autoSpaceDN w:val="0"/>
        <w:adjustRightInd w:val="0"/>
        <w:spacing w:after="120"/>
        <w:jc w:val="both"/>
        <w:rPr>
          <w:rFonts w:ascii="Arial" w:hAnsi="Arial" w:cs="Arial"/>
          <w:bCs/>
        </w:rPr>
      </w:pPr>
    </w:p>
    <w:p w:rsidR="00437FAE" w:rsidRPr="00DE3852" w:rsidRDefault="00C31F9C" w:rsidP="002F2B2D">
      <w:pPr>
        <w:pStyle w:val="Odstavecseseznamem"/>
        <w:numPr>
          <w:ilvl w:val="0"/>
          <w:numId w:val="3"/>
        </w:numPr>
        <w:spacing w:after="120"/>
        <w:ind w:left="567" w:hanging="567"/>
        <w:contextualSpacing w:val="0"/>
        <w:jc w:val="both"/>
        <w:rPr>
          <w:rFonts w:ascii="Arial" w:hAnsi="Arial" w:cs="Arial"/>
          <w:b/>
          <w:color w:val="0070C0"/>
        </w:rPr>
      </w:pPr>
      <w:r w:rsidRPr="00DE3852">
        <w:rPr>
          <w:rFonts w:ascii="Arial" w:hAnsi="Arial" w:cs="Arial"/>
          <w:b/>
          <w:color w:val="0070C0"/>
        </w:rPr>
        <w:t>P</w:t>
      </w:r>
      <w:r w:rsidR="00D34CFA" w:rsidRPr="00DE3852">
        <w:rPr>
          <w:rFonts w:ascii="Arial" w:hAnsi="Arial" w:cs="Arial"/>
          <w:b/>
          <w:color w:val="0070C0"/>
        </w:rPr>
        <w:t>řipomínky</w:t>
      </w:r>
    </w:p>
    <w:p w:rsidR="00411CBB" w:rsidRPr="00411CBB" w:rsidRDefault="00411CBB" w:rsidP="00AE1EE1">
      <w:pPr>
        <w:spacing w:before="240" w:after="60"/>
        <w:jc w:val="both"/>
        <w:rPr>
          <w:rFonts w:ascii="Arial" w:hAnsi="Arial" w:cs="Arial"/>
        </w:rPr>
      </w:pPr>
      <w:r w:rsidRPr="00411CBB">
        <w:rPr>
          <w:rFonts w:ascii="Arial" w:hAnsi="Arial" w:cs="Arial"/>
        </w:rPr>
        <w:t>1.</w:t>
      </w:r>
      <w:r w:rsidRPr="00411CBB">
        <w:rPr>
          <w:rFonts w:ascii="Arial" w:hAnsi="Arial" w:cs="Arial"/>
        </w:rPr>
        <w:tab/>
        <w:t xml:space="preserve">Rada opakovaně od června 2020 (358. zasedání dne 26. 6. 2020) do května 2021 (368. zasedání dne 28. 5. 2021) požádala MŠMT o vyhodnocení velkých výzkumných infrastruktur </w:t>
      </w:r>
      <w:r w:rsidRPr="00411CBB">
        <w:rPr>
          <w:rFonts w:ascii="Arial" w:hAnsi="Arial" w:cs="Arial"/>
          <w:b/>
        </w:rPr>
        <w:t>ve vazbě na socioekonomické přínosy, včetně dopadu na jednotlivá odvětví a rozsahu spolupráce s průmyslem</w:t>
      </w:r>
      <w:r w:rsidRPr="00411CBB">
        <w:rPr>
          <w:rFonts w:ascii="Arial" w:hAnsi="Arial" w:cs="Arial"/>
        </w:rPr>
        <w:t xml:space="preserve">. Předložená analýza ale hodnotí řadu dalších aspektů činnosti velkých výzkumných infrastruktur (výzkumné, vzdělávací, společenské atd. – viz dále č. 3), přitom socioekonomickým přínosům je věnována výrazně menší pozornost a dopady na jednotlivá odvětví chybí. </w:t>
      </w:r>
      <w:r w:rsidRPr="00411CBB">
        <w:rPr>
          <w:rFonts w:ascii="Arial" w:hAnsi="Arial" w:cs="Arial"/>
          <w:b/>
        </w:rPr>
        <w:t>Předložená Analýza nesplňuje zadání - o tom, co velké výzkumné infrastruktury přináší celé společnosti ekonomice, vypovídá jen velmi málo.</w:t>
      </w:r>
    </w:p>
    <w:p w:rsidR="00411CBB" w:rsidRPr="00411CBB" w:rsidRDefault="00411CBB" w:rsidP="00AE1EE1">
      <w:pPr>
        <w:spacing w:after="60"/>
        <w:jc w:val="both"/>
        <w:rPr>
          <w:rFonts w:ascii="Arial" w:hAnsi="Arial" w:cs="Arial"/>
          <w:b/>
        </w:rPr>
      </w:pPr>
      <w:r w:rsidRPr="00411CBB">
        <w:rPr>
          <w:rFonts w:ascii="Arial" w:hAnsi="Arial" w:cs="Arial"/>
          <w:b/>
        </w:rPr>
        <w:t>Tato připomínka je zásadní.</w:t>
      </w:r>
    </w:p>
    <w:p w:rsidR="00411CBB" w:rsidRPr="00411CBB" w:rsidRDefault="00411CBB" w:rsidP="00AE1EE1">
      <w:pPr>
        <w:spacing w:after="60"/>
        <w:jc w:val="both"/>
        <w:rPr>
          <w:rFonts w:ascii="Arial" w:hAnsi="Arial" w:cs="Arial"/>
          <w:b/>
        </w:rPr>
      </w:pPr>
      <w:r w:rsidRPr="00411CBB">
        <w:rPr>
          <w:rFonts w:ascii="Arial" w:hAnsi="Arial" w:cs="Arial"/>
        </w:rPr>
        <w:t>2.</w:t>
      </w:r>
      <w:r w:rsidRPr="00411CBB">
        <w:rPr>
          <w:rFonts w:ascii="Arial" w:hAnsi="Arial" w:cs="Arial"/>
        </w:rPr>
        <w:tab/>
        <w:t>Datové zdroje v kap. 2.1, 3. odst. (str. 6) Analýzy jsou popsány vadně. Uváděný limitující faktor pro využití informací z RIV (označování výsledků dosažených s využitím velkých výzkumných infrastruktur na základě novely zákona č. 130/2002 Sb. od r. 2020) totiž platí jen pro uživatele., Hostitelská organizace, která je příjemcem dotace na velkou výzkumnou infrastrukturu, má povinnost vykazovat výsledky do RIV od počátku existence velké výzkumné infrastruktury. Tento zásadní nedostatek Analýzy je o to překvapivější, že i pro mezinárodní hodnocení byla data členěna na „</w:t>
      </w:r>
      <w:proofErr w:type="spellStart"/>
      <w:r w:rsidRPr="00411CBB">
        <w:rPr>
          <w:rFonts w:ascii="Arial" w:hAnsi="Arial" w:cs="Arial"/>
        </w:rPr>
        <w:t>users</w:t>
      </w:r>
      <w:proofErr w:type="spellEnd"/>
      <w:r w:rsidRPr="00411CBB">
        <w:rPr>
          <w:rFonts w:ascii="Arial" w:hAnsi="Arial" w:cs="Arial"/>
        </w:rPr>
        <w:t>“ a na „</w:t>
      </w:r>
      <w:proofErr w:type="spellStart"/>
      <w:r w:rsidRPr="00411CBB">
        <w:rPr>
          <w:rFonts w:ascii="Arial" w:hAnsi="Arial" w:cs="Arial"/>
        </w:rPr>
        <w:t>operator</w:t>
      </w:r>
      <w:proofErr w:type="spellEnd"/>
      <w:r w:rsidRPr="00411CBB">
        <w:rPr>
          <w:rFonts w:ascii="Arial" w:hAnsi="Arial" w:cs="Arial"/>
        </w:rPr>
        <w:t xml:space="preserve">“, a že Pilotní analýza dat zpracovaná Radou indikovala, že někteří příjemci jako výsledek velké výzkumné infrastruktury vykazují takové výsledky, které jsou dedikovány jen jiným projektům. </w:t>
      </w:r>
      <w:r w:rsidRPr="00411CBB">
        <w:rPr>
          <w:rFonts w:ascii="Arial" w:hAnsi="Arial" w:cs="Arial"/>
          <w:b/>
        </w:rPr>
        <w:t>Zásadní nedostatek absence verifikace datových zdrojů hostitelských organizací jako příjemců podpory výrazně snižuje vypovídací schopnost celé Analýzy a jí deklarované přínosy.</w:t>
      </w:r>
    </w:p>
    <w:p w:rsidR="00411CBB" w:rsidRPr="00411CBB" w:rsidRDefault="00411CBB" w:rsidP="00AE1EE1">
      <w:pPr>
        <w:spacing w:after="60"/>
        <w:jc w:val="both"/>
        <w:rPr>
          <w:rFonts w:ascii="Arial" w:hAnsi="Arial" w:cs="Arial"/>
          <w:b/>
        </w:rPr>
      </w:pPr>
      <w:r w:rsidRPr="00411CBB">
        <w:rPr>
          <w:rFonts w:ascii="Arial" w:hAnsi="Arial" w:cs="Arial"/>
          <w:b/>
        </w:rPr>
        <w:t>Tato připomínka je zásadní.</w:t>
      </w:r>
    </w:p>
    <w:p w:rsidR="00411CBB" w:rsidRPr="00411CBB" w:rsidRDefault="00411CBB" w:rsidP="00AE1EE1">
      <w:pPr>
        <w:spacing w:after="60"/>
        <w:jc w:val="both"/>
        <w:rPr>
          <w:rFonts w:ascii="Arial" w:hAnsi="Arial" w:cs="Arial"/>
          <w:b/>
          <w:bCs/>
        </w:rPr>
      </w:pPr>
      <w:r w:rsidRPr="00411CBB">
        <w:rPr>
          <w:rFonts w:ascii="Arial" w:hAnsi="Arial" w:cs="Arial"/>
        </w:rPr>
        <w:t>3.</w:t>
      </w:r>
      <w:r w:rsidRPr="00411CBB">
        <w:rPr>
          <w:rFonts w:ascii="Arial" w:hAnsi="Arial" w:cs="Arial"/>
        </w:rPr>
        <w:tab/>
        <w:t xml:space="preserve">V kap. 1 je uvedena řada prací, zabývajících se problematikou socioekonomických přínosů obecně i pro velké výzkumné infrastruktury. V kap. </w:t>
      </w:r>
      <w:r w:rsidRPr="00411CBB">
        <w:rPr>
          <w:rFonts w:ascii="Arial" w:hAnsi="Arial" w:cs="Arial"/>
          <w:b/>
          <w:bCs/>
          <w:color w:val="4F81BC"/>
        </w:rPr>
        <w:t>2.2 Metodický přístup</w:t>
      </w:r>
      <w:r w:rsidRPr="00411CBB">
        <w:rPr>
          <w:rFonts w:ascii="Arial" w:hAnsi="Arial" w:cs="Arial"/>
        </w:rPr>
        <w:t>, v</w:t>
      </w:r>
      <w:r w:rsidRPr="00411CBB">
        <w:rPr>
          <w:rFonts w:ascii="Arial" w:hAnsi="Arial" w:cs="Arial"/>
          <w:b/>
          <w:bCs/>
          <w:color w:val="4F81BC"/>
        </w:rPr>
        <w:t> </w:t>
      </w:r>
      <w:r w:rsidRPr="00411CBB">
        <w:rPr>
          <w:rFonts w:ascii="Arial" w:hAnsi="Arial" w:cs="Arial"/>
        </w:rPr>
        <w:t xml:space="preserve">části </w:t>
      </w:r>
      <w:r w:rsidRPr="00411CBB">
        <w:rPr>
          <w:rFonts w:ascii="Arial" w:hAnsi="Arial" w:cs="Arial"/>
          <w:b/>
          <w:bCs/>
          <w:color w:val="4F81BC"/>
        </w:rPr>
        <w:t>2.2.1</w:t>
      </w:r>
      <w:r w:rsidRPr="00411CBB">
        <w:rPr>
          <w:rFonts w:ascii="Arial" w:hAnsi="Arial" w:cs="Arial"/>
        </w:rPr>
        <w:t xml:space="preserve"> (str. 7 – 8) byly pro zpracování Analýzy vybrány jen do značné míry irelevantní indikátory a to pro „</w:t>
      </w:r>
      <w:r w:rsidRPr="00411CBB">
        <w:rPr>
          <w:rFonts w:ascii="Arial" w:hAnsi="Arial" w:cs="Arial"/>
          <w:b/>
          <w:i/>
        </w:rPr>
        <w:t>Přímé společenské dopady a přínosy</w:t>
      </w:r>
      <w:r w:rsidRPr="00411CBB">
        <w:rPr>
          <w:rFonts w:ascii="Arial" w:hAnsi="Arial" w:cs="Arial"/>
        </w:rPr>
        <w:t>“ zejm. „</w:t>
      </w:r>
      <w:r w:rsidRPr="00411CBB">
        <w:rPr>
          <w:rFonts w:ascii="Arial" w:hAnsi="Arial" w:cs="Arial"/>
          <w:i/>
        </w:rPr>
        <w:t>Pět nejvýznamnějších akcí uspořádaných pro laickou veřejnost za období let 2016–2020 (dny otevřených dveří apod.) …</w:t>
      </w:r>
      <w:r w:rsidRPr="00411CBB">
        <w:rPr>
          <w:rFonts w:ascii="Arial" w:hAnsi="Arial" w:cs="Arial"/>
        </w:rPr>
        <w:t>“. Pro „</w:t>
      </w:r>
      <w:r w:rsidRPr="00411CBB">
        <w:rPr>
          <w:rFonts w:ascii="Arial" w:hAnsi="Arial" w:cs="Arial"/>
          <w:b/>
          <w:bCs/>
          <w:i/>
        </w:rPr>
        <w:t>Přímé ekonomické přínosy a dopady</w:t>
      </w:r>
      <w:r w:rsidRPr="00411CBB">
        <w:rPr>
          <w:rFonts w:ascii="Arial" w:hAnsi="Arial" w:cs="Arial"/>
          <w:bCs/>
        </w:rPr>
        <w:t xml:space="preserve">“ je část zvolených indikátorů relevantnější (např. </w:t>
      </w:r>
      <w:r w:rsidRPr="00411CBB">
        <w:rPr>
          <w:rFonts w:ascii="Arial" w:hAnsi="Arial" w:cs="Arial"/>
          <w:bCs/>
          <w:i/>
        </w:rPr>
        <w:t>Finanční příjem využití v komerčním režimu</w:t>
      </w:r>
      <w:r w:rsidRPr="00411CBB">
        <w:rPr>
          <w:rFonts w:ascii="Arial" w:hAnsi="Arial" w:cs="Arial"/>
          <w:bCs/>
        </w:rPr>
        <w:t xml:space="preserve">, </w:t>
      </w:r>
      <w:r w:rsidRPr="00411CBB">
        <w:rPr>
          <w:rFonts w:ascii="Arial" w:hAnsi="Arial" w:cs="Arial"/>
          <w:bCs/>
          <w:i/>
        </w:rPr>
        <w:t>Počet uživatelů VVI ze soukromého sektoru</w:t>
      </w:r>
      <w:r w:rsidRPr="00411CBB">
        <w:rPr>
          <w:rFonts w:ascii="Arial" w:hAnsi="Arial" w:cs="Arial"/>
          <w:bCs/>
        </w:rPr>
        <w:t xml:space="preserve">), ale současně jsou uvedeny jako přímé ekonomické přínosy i diskutabilní indikátory – např. zvýšení zaměstnanosti s vysokými náklady vysoce kvalifikovaná místa zejm. v době nedostatku kvalifikovaných pracovníků (nikoliv míst). </w:t>
      </w:r>
      <w:r w:rsidRPr="00411CBB">
        <w:rPr>
          <w:rFonts w:ascii="Arial" w:hAnsi="Arial" w:cs="Arial"/>
          <w:b/>
          <w:bCs/>
        </w:rPr>
        <w:t>Zásadním nedostatkem Analýzy je, že v </w:t>
      </w:r>
      <w:r w:rsidRPr="00411CBB">
        <w:rPr>
          <w:rFonts w:ascii="Arial" w:hAnsi="Arial" w:cs="Arial"/>
          <w:b/>
          <w:bCs/>
          <w:color w:val="4F81BC"/>
        </w:rPr>
        <w:t>kap. 3 Výsledky Analýzy</w:t>
      </w:r>
      <w:r w:rsidRPr="00411CBB">
        <w:rPr>
          <w:rFonts w:ascii="Arial" w:hAnsi="Arial" w:cs="Arial"/>
          <w:bCs/>
        </w:rPr>
        <w:t xml:space="preserve"> </w:t>
      </w:r>
      <w:r w:rsidRPr="00411CBB">
        <w:rPr>
          <w:rFonts w:ascii="Arial" w:hAnsi="Arial" w:cs="Arial"/>
          <w:b/>
          <w:bCs/>
        </w:rPr>
        <w:t>se ani touto částečně diskutabilní metodikou neřídí a uvádí jen pozitivní případy.</w:t>
      </w:r>
    </w:p>
    <w:p w:rsidR="00411CBB" w:rsidRPr="00411CBB" w:rsidRDefault="00411CBB" w:rsidP="00AE1EE1">
      <w:pPr>
        <w:spacing w:after="60"/>
        <w:jc w:val="both"/>
        <w:rPr>
          <w:rFonts w:ascii="Arial" w:hAnsi="Arial" w:cs="Arial"/>
          <w:b/>
        </w:rPr>
      </w:pPr>
      <w:r w:rsidRPr="00411CBB">
        <w:rPr>
          <w:rFonts w:ascii="Arial" w:hAnsi="Arial" w:cs="Arial"/>
          <w:b/>
        </w:rPr>
        <w:t>Tato připomínka je zásadní.</w:t>
      </w:r>
    </w:p>
    <w:p w:rsidR="00411CBB" w:rsidRPr="00411CBB" w:rsidRDefault="00411CBB" w:rsidP="00AE1EE1">
      <w:pPr>
        <w:spacing w:after="60"/>
        <w:jc w:val="both"/>
        <w:rPr>
          <w:rFonts w:ascii="Arial" w:hAnsi="Arial" w:cs="Arial"/>
          <w:b/>
        </w:rPr>
      </w:pPr>
      <w:r w:rsidRPr="00411CBB">
        <w:rPr>
          <w:rFonts w:ascii="Arial" w:hAnsi="Arial" w:cs="Arial"/>
        </w:rPr>
        <w:t>4.</w:t>
      </w:r>
      <w:r w:rsidRPr="00411CBB">
        <w:rPr>
          <w:rFonts w:ascii="Arial" w:hAnsi="Arial" w:cs="Arial"/>
        </w:rPr>
        <w:tab/>
      </w:r>
      <w:r w:rsidRPr="00411CBB">
        <w:rPr>
          <w:rFonts w:ascii="Arial" w:hAnsi="Arial" w:cs="Arial"/>
          <w:b/>
        </w:rPr>
        <w:t>V kap.</w:t>
      </w:r>
      <w:r w:rsidRPr="00411CBB">
        <w:rPr>
          <w:rFonts w:ascii="Arial" w:hAnsi="Arial" w:cs="Arial"/>
        </w:rPr>
        <w:t xml:space="preserve"> </w:t>
      </w:r>
      <w:r w:rsidRPr="00411CBB">
        <w:rPr>
          <w:rFonts w:ascii="Arial" w:hAnsi="Arial" w:cs="Arial"/>
          <w:b/>
          <w:bCs/>
          <w:color w:val="4F81BC"/>
        </w:rPr>
        <w:t>2.2.2 Atributy VVI mající vliv na vyhodnocení přínosů a dopadů VVI</w:t>
      </w:r>
      <w:r w:rsidRPr="00411CBB">
        <w:rPr>
          <w:rFonts w:ascii="Arial" w:hAnsi="Arial" w:cs="Arial"/>
        </w:rPr>
        <w:t xml:space="preserve"> (str. 8 – 10) </w:t>
      </w:r>
      <w:r w:rsidRPr="00411CBB">
        <w:rPr>
          <w:rFonts w:ascii="Arial" w:hAnsi="Arial" w:cs="Arial"/>
          <w:b/>
        </w:rPr>
        <w:t>jsou v nákladech na činnost VVI zahrnuty jen výdaje z aktivity LM, ale řádově stejné investiční náklady hrazené z </w:t>
      </w:r>
      <w:proofErr w:type="gramStart"/>
      <w:r w:rsidRPr="00411CBB">
        <w:rPr>
          <w:rFonts w:ascii="Arial" w:hAnsi="Arial" w:cs="Arial"/>
          <w:b/>
        </w:rPr>
        <w:t>OP</w:t>
      </w:r>
      <w:proofErr w:type="gramEnd"/>
      <w:r w:rsidRPr="00411CBB">
        <w:rPr>
          <w:rFonts w:ascii="Arial" w:hAnsi="Arial" w:cs="Arial"/>
          <w:b/>
        </w:rPr>
        <w:t xml:space="preserve"> VVV nejsou uvedeny, což výrazně zkresluje vyhodnocení přínosů a dopadů VVI.</w:t>
      </w:r>
    </w:p>
    <w:p w:rsidR="00411CBB" w:rsidRPr="00411CBB" w:rsidRDefault="00411CBB" w:rsidP="00AE1EE1">
      <w:pPr>
        <w:spacing w:after="60"/>
        <w:jc w:val="both"/>
        <w:rPr>
          <w:rFonts w:ascii="Arial" w:hAnsi="Arial" w:cs="Arial"/>
          <w:b/>
        </w:rPr>
      </w:pPr>
      <w:r w:rsidRPr="00411CBB">
        <w:rPr>
          <w:rFonts w:ascii="Arial" w:hAnsi="Arial" w:cs="Arial"/>
          <w:b/>
        </w:rPr>
        <w:t>Tato připomínka je zásadní.</w:t>
      </w:r>
    </w:p>
    <w:p w:rsidR="00411CBB" w:rsidRPr="00411CBB" w:rsidRDefault="00411CBB" w:rsidP="00AE1EE1">
      <w:pPr>
        <w:spacing w:after="60"/>
        <w:jc w:val="both"/>
        <w:rPr>
          <w:rFonts w:ascii="Arial" w:hAnsi="Arial" w:cs="Arial"/>
          <w:b/>
        </w:rPr>
      </w:pPr>
      <w:r w:rsidRPr="00411CBB">
        <w:rPr>
          <w:rFonts w:ascii="Arial" w:hAnsi="Arial" w:cs="Arial"/>
        </w:rPr>
        <w:t>5.</w:t>
      </w:r>
      <w:r w:rsidRPr="00411CBB">
        <w:rPr>
          <w:rFonts w:ascii="Arial" w:hAnsi="Arial" w:cs="Arial"/>
        </w:rPr>
        <w:tab/>
        <w:t>V Analýze chybí jakékoliv vyhodnocení jednotlivých VVI, tj. údajů uvedených na jednotlivých kartách v příloze</w:t>
      </w:r>
      <w:r w:rsidRPr="00411CBB">
        <w:rPr>
          <w:rFonts w:ascii="Arial" w:hAnsi="Arial" w:cs="Arial"/>
          <w:b/>
        </w:rPr>
        <w:t>. Souhrnné tvrzení uvedené v </w:t>
      </w:r>
      <w:r w:rsidRPr="00411CBB">
        <w:rPr>
          <w:rFonts w:ascii="Arial" w:hAnsi="Arial" w:cs="Arial"/>
          <w:b/>
          <w:bCs/>
          <w:color w:val="4F81BC"/>
        </w:rPr>
        <w:t>kap. 4 Závěry</w:t>
      </w:r>
      <w:r w:rsidRPr="00411CBB">
        <w:rPr>
          <w:rFonts w:ascii="Arial" w:hAnsi="Arial" w:cs="Arial"/>
          <w:b/>
        </w:rPr>
        <w:t xml:space="preserve"> „</w:t>
      </w:r>
      <w:r w:rsidRPr="00411CBB">
        <w:rPr>
          <w:rFonts w:ascii="Arial" w:hAnsi="Arial" w:cs="Arial"/>
          <w:b/>
          <w:i/>
        </w:rPr>
        <w:t xml:space="preserve">Všechny </w:t>
      </w:r>
      <w:r w:rsidRPr="00411CBB">
        <w:rPr>
          <w:rFonts w:ascii="Arial" w:hAnsi="Arial" w:cs="Arial"/>
          <w:b/>
          <w:i/>
        </w:rPr>
        <w:lastRenderedPageBreak/>
        <w:t>uvedené VVI přispívají k rozvoji ČR dle svého oborového a konkrétního zaměření.</w:t>
      </w:r>
      <w:r w:rsidRPr="00411CBB">
        <w:rPr>
          <w:rFonts w:ascii="Arial" w:hAnsi="Arial" w:cs="Arial"/>
          <w:b/>
        </w:rPr>
        <w:t>“ není korektní, i ve zvolených segmentech jsou mezi jednotlivými VVI značné rozdíly a jejich přínosy se diametrálně liší.</w:t>
      </w:r>
    </w:p>
    <w:p w:rsidR="00411CBB" w:rsidRPr="00411CBB" w:rsidRDefault="00411CBB" w:rsidP="00AE1EE1">
      <w:pPr>
        <w:spacing w:after="60"/>
        <w:jc w:val="both"/>
        <w:rPr>
          <w:rFonts w:ascii="Arial" w:hAnsi="Arial" w:cs="Arial"/>
          <w:b/>
        </w:rPr>
      </w:pPr>
      <w:r w:rsidRPr="00411CBB">
        <w:rPr>
          <w:rFonts w:ascii="Arial" w:hAnsi="Arial" w:cs="Arial"/>
          <w:b/>
        </w:rPr>
        <w:t>Tato připomínka je zásadní.</w:t>
      </w:r>
    </w:p>
    <w:p w:rsidR="00DC25E3" w:rsidRPr="00A07060" w:rsidRDefault="00DC25E3" w:rsidP="00C91406">
      <w:pPr>
        <w:pStyle w:val="Odstavecseseznamem"/>
        <w:autoSpaceDE w:val="0"/>
        <w:autoSpaceDN w:val="0"/>
        <w:adjustRightInd w:val="0"/>
        <w:spacing w:after="120"/>
        <w:ind w:left="0"/>
        <w:contextualSpacing w:val="0"/>
        <w:jc w:val="both"/>
        <w:rPr>
          <w:rFonts w:ascii="Arial" w:hAnsi="Arial" w:cs="Arial"/>
        </w:rPr>
      </w:pPr>
    </w:p>
    <w:p w:rsidR="00BD4D3A" w:rsidRDefault="00BD4D3A" w:rsidP="00BD4D3A">
      <w:pPr>
        <w:pStyle w:val="Odstavecseseznamem"/>
        <w:spacing w:after="120"/>
        <w:ind w:left="567"/>
        <w:contextualSpacing w:val="0"/>
        <w:jc w:val="both"/>
        <w:rPr>
          <w:rFonts w:ascii="Arial" w:hAnsi="Arial" w:cs="Arial"/>
          <w:b/>
          <w:color w:val="0070C0"/>
        </w:rPr>
      </w:pPr>
    </w:p>
    <w:p w:rsidR="00D34CFA" w:rsidRPr="00DE3852" w:rsidRDefault="00D34CFA" w:rsidP="004213DE">
      <w:pPr>
        <w:pStyle w:val="Odstavecseseznamem"/>
        <w:numPr>
          <w:ilvl w:val="0"/>
          <w:numId w:val="3"/>
        </w:numPr>
        <w:spacing w:after="120"/>
        <w:ind w:left="567" w:hanging="567"/>
        <w:contextualSpacing w:val="0"/>
        <w:jc w:val="both"/>
        <w:rPr>
          <w:rFonts w:ascii="Arial" w:hAnsi="Arial" w:cs="Arial"/>
          <w:b/>
          <w:color w:val="0070C0"/>
        </w:rPr>
      </w:pPr>
      <w:r w:rsidRPr="00DE3852">
        <w:rPr>
          <w:rFonts w:ascii="Arial" w:hAnsi="Arial" w:cs="Arial"/>
          <w:b/>
          <w:color w:val="0070C0"/>
        </w:rPr>
        <w:t xml:space="preserve">Závěr </w:t>
      </w:r>
    </w:p>
    <w:p w:rsidR="002F1FE7" w:rsidRPr="00DE3852" w:rsidRDefault="007566C8" w:rsidP="002F1FE7">
      <w:pPr>
        <w:pStyle w:val="Zkladntext2"/>
        <w:spacing w:after="120"/>
        <w:jc w:val="both"/>
        <w:rPr>
          <w:rFonts w:ascii="Arial" w:hAnsi="Arial" w:cs="Arial"/>
          <w:szCs w:val="24"/>
        </w:rPr>
      </w:pPr>
      <w:bookmarkStart w:id="1" w:name="OLE_LINK1"/>
      <w:r w:rsidRPr="00DE3852">
        <w:rPr>
          <w:rFonts w:ascii="Arial" w:hAnsi="Arial" w:cs="Arial"/>
          <w:szCs w:val="24"/>
        </w:rPr>
        <w:t>Rada</w:t>
      </w:r>
    </w:p>
    <w:p w:rsidR="00DD5AD7" w:rsidRPr="007F2D01" w:rsidRDefault="00631F7D" w:rsidP="007F2D01">
      <w:pPr>
        <w:pStyle w:val="Odstavecseseznamem"/>
        <w:numPr>
          <w:ilvl w:val="0"/>
          <w:numId w:val="45"/>
        </w:numPr>
        <w:spacing w:after="120"/>
        <w:jc w:val="both"/>
        <w:rPr>
          <w:rFonts w:ascii="Arial" w:hAnsi="Arial" w:cs="Arial"/>
          <w:color w:val="000000"/>
          <w:szCs w:val="22"/>
        </w:rPr>
      </w:pPr>
      <w:r>
        <w:rPr>
          <w:rFonts w:ascii="Arial" w:hAnsi="Arial" w:cs="Arial"/>
          <w:color w:val="000000"/>
          <w:szCs w:val="22"/>
        </w:rPr>
        <w:t xml:space="preserve">Bere na vědomí materiál </w:t>
      </w:r>
      <w:r>
        <w:rPr>
          <w:rFonts w:ascii="Arial" w:hAnsi="Arial" w:cs="Arial"/>
        </w:rPr>
        <w:t>„Analýza přínosů a dopadů velkých výzkumných infrastruktur ČR„</w:t>
      </w:r>
    </w:p>
    <w:p w:rsidR="007F2D01" w:rsidRPr="00DE3852" w:rsidRDefault="007F2D01" w:rsidP="00070512">
      <w:pPr>
        <w:spacing w:after="120"/>
        <w:ind w:left="714"/>
        <w:jc w:val="both"/>
        <w:rPr>
          <w:rFonts w:ascii="Arial" w:hAnsi="Arial" w:cs="Arial"/>
          <w:color w:val="000000"/>
          <w:szCs w:val="22"/>
        </w:rPr>
      </w:pPr>
    </w:p>
    <w:p w:rsidR="0041165C" w:rsidRPr="00DE3852" w:rsidRDefault="0041165C" w:rsidP="00070512">
      <w:pPr>
        <w:spacing w:after="120"/>
        <w:ind w:left="714"/>
        <w:jc w:val="both"/>
        <w:rPr>
          <w:rFonts w:ascii="Arial" w:hAnsi="Arial" w:cs="Arial"/>
          <w:color w:val="000000"/>
          <w:szCs w:val="22"/>
        </w:rPr>
      </w:pPr>
      <w:r w:rsidRPr="00DE3852">
        <w:rPr>
          <w:rFonts w:ascii="Arial" w:hAnsi="Arial" w:cs="Arial"/>
          <w:color w:val="000000"/>
          <w:szCs w:val="22"/>
        </w:rPr>
        <w:t xml:space="preserve"> </w:t>
      </w:r>
    </w:p>
    <w:p w:rsidR="008876FB" w:rsidRPr="00DE3852" w:rsidRDefault="008876FB" w:rsidP="00524B3D">
      <w:pPr>
        <w:pStyle w:val="Zkladntext2"/>
        <w:spacing w:after="120"/>
        <w:jc w:val="both"/>
        <w:rPr>
          <w:rFonts w:ascii="Arial" w:hAnsi="Arial" w:cs="Arial"/>
          <w:szCs w:val="24"/>
        </w:rPr>
      </w:pPr>
    </w:p>
    <w:bookmarkEnd w:id="1"/>
    <w:p w:rsidR="00D34CFA" w:rsidRPr="00DE3852" w:rsidRDefault="00D34CFA" w:rsidP="00817392">
      <w:pPr>
        <w:pStyle w:val="Zkladntext2"/>
        <w:spacing w:after="120"/>
        <w:jc w:val="both"/>
        <w:rPr>
          <w:rFonts w:ascii="Arial" w:hAnsi="Arial" w:cs="Arial"/>
          <w:szCs w:val="24"/>
        </w:rPr>
      </w:pPr>
      <w:r w:rsidRPr="00DE3852">
        <w:rPr>
          <w:rFonts w:ascii="Arial" w:hAnsi="Arial" w:cs="Arial"/>
          <w:szCs w:val="24"/>
        </w:rPr>
        <w:t xml:space="preserve">V Praze dne </w:t>
      </w:r>
      <w:r w:rsidR="00B55709">
        <w:rPr>
          <w:rFonts w:ascii="Arial" w:hAnsi="Arial" w:cs="Arial"/>
          <w:szCs w:val="24"/>
        </w:rPr>
        <w:t>8</w:t>
      </w:r>
      <w:r w:rsidR="0031155D">
        <w:rPr>
          <w:rFonts w:ascii="Arial" w:hAnsi="Arial" w:cs="Arial"/>
          <w:szCs w:val="24"/>
        </w:rPr>
        <w:t xml:space="preserve">. </w:t>
      </w:r>
      <w:r w:rsidR="00B55709">
        <w:rPr>
          <w:rFonts w:ascii="Arial" w:hAnsi="Arial" w:cs="Arial"/>
          <w:szCs w:val="24"/>
        </w:rPr>
        <w:t>března</w:t>
      </w:r>
      <w:r w:rsidR="00631F7D" w:rsidRPr="00DE3852">
        <w:rPr>
          <w:rFonts w:ascii="Arial" w:hAnsi="Arial" w:cs="Arial"/>
          <w:szCs w:val="24"/>
        </w:rPr>
        <w:t xml:space="preserve"> </w:t>
      </w:r>
      <w:r w:rsidR="004F1565" w:rsidRPr="00DE3852">
        <w:rPr>
          <w:rFonts w:ascii="Arial" w:hAnsi="Arial" w:cs="Arial"/>
          <w:szCs w:val="24"/>
        </w:rPr>
        <w:t>202</w:t>
      </w:r>
      <w:r w:rsidR="00631F7D">
        <w:rPr>
          <w:rFonts w:ascii="Arial" w:hAnsi="Arial" w:cs="Arial"/>
          <w:szCs w:val="24"/>
        </w:rPr>
        <w:t>2</w:t>
      </w:r>
    </w:p>
    <w:sectPr w:rsidR="00D34CFA" w:rsidRPr="00DE3852"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083" w:rsidRDefault="00F47083" w:rsidP="008F77F6">
      <w:r>
        <w:separator/>
      </w:r>
    </w:p>
  </w:endnote>
  <w:endnote w:type="continuationSeparator" w:id="0">
    <w:p w:rsidR="00F47083" w:rsidRDefault="00F4708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BD4D3A" w:rsidP="00772D7C">
    <w:pPr>
      <w:pStyle w:val="Zpat"/>
      <w:rPr>
        <w:rFonts w:ascii="Arial" w:hAnsi="Arial" w:cs="Arial"/>
        <w:sz w:val="18"/>
        <w:szCs w:val="18"/>
      </w:rPr>
    </w:pPr>
    <w:r w:rsidRPr="00BD4D3A">
      <w:rPr>
        <w:rFonts w:ascii="Arial" w:hAnsi="Arial" w:cs="Arial"/>
        <w:sz w:val="20"/>
        <w:szCs w:val="20"/>
      </w:rPr>
      <w:t>Návrh stanoviska Rady k materiálu „Analýza přínosů a dopadů velkých výzkumných infrastruktur ČR“</w:t>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CE495A">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CE495A">
          <w:rPr>
            <w:rFonts w:ascii="Arial" w:hAnsi="Arial" w:cs="Arial"/>
            <w:noProof/>
            <w:sz w:val="18"/>
            <w:szCs w:val="18"/>
          </w:rPr>
          <w:t>4</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E495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E495A">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083" w:rsidRDefault="00F47083" w:rsidP="008F77F6">
      <w:r>
        <w:separator/>
      </w:r>
    </w:p>
  </w:footnote>
  <w:footnote w:type="continuationSeparator" w:id="0">
    <w:p w:rsidR="00F47083" w:rsidRDefault="00F47083"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970CE8F" wp14:editId="07B12D8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153264">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332C44E6" wp14:editId="445BEF84">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9758E5" w:rsidP="00FE5AC9">
          <w:pPr>
            <w:pStyle w:val="Zhlav"/>
            <w:jc w:val="center"/>
            <w:rPr>
              <w:rFonts w:ascii="Arial" w:hAnsi="Arial" w:cs="Arial"/>
              <w:b/>
              <w:color w:val="0070C0"/>
              <w:sz w:val="28"/>
              <w:szCs w:val="28"/>
            </w:rPr>
          </w:pPr>
          <w:r w:rsidRPr="003C2A8E">
            <w:rPr>
              <w:rFonts w:ascii="Arial" w:hAnsi="Arial" w:cs="Arial"/>
              <w:b/>
              <w:color w:val="0070C0"/>
              <w:sz w:val="28"/>
              <w:szCs w:val="28"/>
            </w:rPr>
            <w:t>3</w:t>
          </w:r>
          <w:r w:rsidR="0068629B">
            <w:rPr>
              <w:rFonts w:ascii="Arial" w:hAnsi="Arial" w:cs="Arial"/>
              <w:b/>
              <w:color w:val="0070C0"/>
              <w:sz w:val="28"/>
              <w:szCs w:val="28"/>
            </w:rPr>
            <w:t>7</w:t>
          </w:r>
          <w:r w:rsidR="00B72D38">
            <w:rPr>
              <w:rFonts w:ascii="Arial" w:hAnsi="Arial" w:cs="Arial"/>
              <w:b/>
              <w:color w:val="0070C0"/>
              <w:sz w:val="28"/>
              <w:szCs w:val="28"/>
            </w:rPr>
            <w:t>7</w:t>
          </w:r>
          <w:r w:rsidRPr="003C2A8E">
            <w:rPr>
              <w:rFonts w:ascii="Arial" w:hAnsi="Arial" w:cs="Arial"/>
              <w:b/>
              <w:color w:val="0070C0"/>
              <w:sz w:val="28"/>
              <w:szCs w:val="28"/>
            </w:rPr>
            <w:t>/</w:t>
          </w:r>
          <w:r w:rsidR="00FE5AC9">
            <w:rPr>
              <w:rFonts w:ascii="Arial" w:hAnsi="Arial" w:cs="Arial"/>
              <w:b/>
              <w:color w:val="0070C0"/>
              <w:sz w:val="28"/>
              <w:szCs w:val="28"/>
            </w:rPr>
            <w:t>A</w:t>
          </w:r>
          <w:r w:rsidR="00CE495A">
            <w:rPr>
              <w:rFonts w:ascii="Arial" w:hAnsi="Arial" w:cs="Arial"/>
              <w:b/>
              <w:color w:val="0070C0"/>
              <w:sz w:val="28"/>
              <w:szCs w:val="28"/>
            </w:rPr>
            <w:t>6</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F3A43"/>
    <w:multiLevelType w:val="hybridMultilevel"/>
    <w:tmpl w:val="A4B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B212E4"/>
    <w:multiLevelType w:val="hybridMultilevel"/>
    <w:tmpl w:val="450C68D0"/>
    <w:lvl w:ilvl="0" w:tplc="34669F7E">
      <w:start w:val="1"/>
      <w:numFmt w:val="decimal"/>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 w15:restartNumberingAfterBreak="0">
    <w:nsid w:val="050A7E10"/>
    <w:multiLevelType w:val="hybridMultilevel"/>
    <w:tmpl w:val="BF1293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5BE7196"/>
    <w:multiLevelType w:val="hybridMultilevel"/>
    <w:tmpl w:val="D50E0ABC"/>
    <w:lvl w:ilvl="0" w:tplc="23862848">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84B625F"/>
    <w:multiLevelType w:val="hybridMultilevel"/>
    <w:tmpl w:val="46661ED4"/>
    <w:lvl w:ilvl="0" w:tplc="E6B8AB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6719E9"/>
    <w:multiLevelType w:val="hybridMultilevel"/>
    <w:tmpl w:val="770C84E2"/>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8" w15:restartNumberingAfterBreak="0">
    <w:nsid w:val="0B1F57BE"/>
    <w:multiLevelType w:val="hybridMultilevel"/>
    <w:tmpl w:val="C2A271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1A5813"/>
    <w:multiLevelType w:val="hybridMultilevel"/>
    <w:tmpl w:val="CCE85DBC"/>
    <w:lvl w:ilvl="0" w:tplc="5DD09158">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F697011"/>
    <w:multiLevelType w:val="hybridMultilevel"/>
    <w:tmpl w:val="FD00AAD0"/>
    <w:lvl w:ilvl="0" w:tplc="6C403B0C">
      <w:start w:val="1"/>
      <w:numFmt w:val="decimal"/>
      <w:lvlText w:val="%1)"/>
      <w:lvlJc w:val="left"/>
      <w:pPr>
        <w:ind w:left="144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B57490"/>
    <w:multiLevelType w:val="hybridMultilevel"/>
    <w:tmpl w:val="1A14F750"/>
    <w:lvl w:ilvl="0" w:tplc="9A16D20E">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98377D"/>
    <w:multiLevelType w:val="hybridMultilevel"/>
    <w:tmpl w:val="988822E2"/>
    <w:lvl w:ilvl="0" w:tplc="0405000F">
      <w:start w:val="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E137916"/>
    <w:multiLevelType w:val="hybridMultilevel"/>
    <w:tmpl w:val="0FEE8992"/>
    <w:lvl w:ilvl="0" w:tplc="270C4792">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2C63172"/>
    <w:multiLevelType w:val="hybridMultilevel"/>
    <w:tmpl w:val="325A19DA"/>
    <w:lvl w:ilvl="0" w:tplc="55EC984E">
      <w:start w:val="1"/>
      <w:numFmt w:val="decimal"/>
      <w:lvlText w:val="%1)"/>
      <w:lvlJc w:val="left"/>
      <w:pPr>
        <w:ind w:left="1068" w:hanging="360"/>
      </w:pPr>
      <w:rPr>
        <w:rFonts w:ascii="Arial" w:eastAsia="Times New Roman" w:hAnsi="Arial" w:cs="Arial"/>
        <w:b w:val="0"/>
        <w:i w:val="0"/>
      </w:rPr>
    </w:lvl>
    <w:lvl w:ilvl="1" w:tplc="04050019">
      <w:start w:val="1"/>
      <w:numFmt w:val="lowerLetter"/>
      <w:lvlText w:val="%2."/>
      <w:lvlJc w:val="left"/>
      <w:pPr>
        <w:ind w:left="730" w:hanging="360"/>
      </w:pPr>
    </w:lvl>
    <w:lvl w:ilvl="2" w:tplc="0405001B" w:tentative="1">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15" w15:restartNumberingAfterBreak="0">
    <w:nsid w:val="234C43E6"/>
    <w:multiLevelType w:val="hybridMultilevel"/>
    <w:tmpl w:val="3566D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9551DB"/>
    <w:multiLevelType w:val="hybridMultilevel"/>
    <w:tmpl w:val="01D007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006C20"/>
    <w:multiLevelType w:val="hybridMultilevel"/>
    <w:tmpl w:val="93DABAA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82A12FC"/>
    <w:multiLevelType w:val="hybridMultilevel"/>
    <w:tmpl w:val="EF42354E"/>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9" w15:restartNumberingAfterBreak="0">
    <w:nsid w:val="290975AE"/>
    <w:multiLevelType w:val="hybridMultilevel"/>
    <w:tmpl w:val="EBC46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BB44D97"/>
    <w:multiLevelType w:val="hybridMultilevel"/>
    <w:tmpl w:val="4A0873D6"/>
    <w:lvl w:ilvl="0" w:tplc="15A82C94">
      <w:start w:val="1"/>
      <w:numFmt w:val="upperRoman"/>
      <w:lvlText w:val="%1."/>
      <w:lvlJc w:val="left"/>
      <w:pPr>
        <w:ind w:left="1080" w:hanging="720"/>
      </w:pPr>
      <w:rPr>
        <w:rFonts w:hint="default"/>
        <w:b/>
        <w:color w:val="0070C0"/>
        <w:sz w:val="28"/>
      </w:rPr>
    </w:lvl>
    <w:lvl w:ilvl="1" w:tplc="55EC984E">
      <w:start w:val="1"/>
      <w:numFmt w:val="decimal"/>
      <w:lvlText w:val="%2)"/>
      <w:lvlJc w:val="left"/>
      <w:pPr>
        <w:ind w:left="1778" w:hanging="360"/>
      </w:pPr>
      <w:rPr>
        <w:rFonts w:ascii="Arial" w:eastAsia="Times New Roman" w:hAnsi="Arial" w:cs="Arial"/>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846036"/>
    <w:multiLevelType w:val="hybridMultilevel"/>
    <w:tmpl w:val="CCE85DBC"/>
    <w:lvl w:ilvl="0" w:tplc="5DD09158">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E756E6B"/>
    <w:multiLevelType w:val="hybridMultilevel"/>
    <w:tmpl w:val="4546F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732" w:hanging="360"/>
      </w:pPr>
    </w:lvl>
    <w:lvl w:ilvl="2" w:tplc="0405001B" w:tentative="1">
      <w:start w:val="1"/>
      <w:numFmt w:val="lowerRoman"/>
      <w:lvlText w:val="%3."/>
      <w:lvlJc w:val="right"/>
      <w:pPr>
        <w:ind w:left="1452" w:hanging="180"/>
      </w:pPr>
    </w:lvl>
    <w:lvl w:ilvl="3" w:tplc="0405000F" w:tentative="1">
      <w:start w:val="1"/>
      <w:numFmt w:val="decimal"/>
      <w:lvlText w:val="%4."/>
      <w:lvlJc w:val="left"/>
      <w:pPr>
        <w:ind w:left="2172" w:hanging="360"/>
      </w:pPr>
    </w:lvl>
    <w:lvl w:ilvl="4" w:tplc="04050019" w:tentative="1">
      <w:start w:val="1"/>
      <w:numFmt w:val="lowerLetter"/>
      <w:lvlText w:val="%5."/>
      <w:lvlJc w:val="left"/>
      <w:pPr>
        <w:ind w:left="2892" w:hanging="360"/>
      </w:pPr>
    </w:lvl>
    <w:lvl w:ilvl="5" w:tplc="0405001B" w:tentative="1">
      <w:start w:val="1"/>
      <w:numFmt w:val="lowerRoman"/>
      <w:lvlText w:val="%6."/>
      <w:lvlJc w:val="right"/>
      <w:pPr>
        <w:ind w:left="3612" w:hanging="180"/>
      </w:pPr>
    </w:lvl>
    <w:lvl w:ilvl="6" w:tplc="0405000F" w:tentative="1">
      <w:start w:val="1"/>
      <w:numFmt w:val="decimal"/>
      <w:lvlText w:val="%7."/>
      <w:lvlJc w:val="left"/>
      <w:pPr>
        <w:ind w:left="4332" w:hanging="360"/>
      </w:pPr>
    </w:lvl>
    <w:lvl w:ilvl="7" w:tplc="04050019" w:tentative="1">
      <w:start w:val="1"/>
      <w:numFmt w:val="lowerLetter"/>
      <w:lvlText w:val="%8."/>
      <w:lvlJc w:val="left"/>
      <w:pPr>
        <w:ind w:left="5052" w:hanging="360"/>
      </w:pPr>
    </w:lvl>
    <w:lvl w:ilvl="8" w:tplc="0405001B" w:tentative="1">
      <w:start w:val="1"/>
      <w:numFmt w:val="lowerRoman"/>
      <w:lvlText w:val="%9."/>
      <w:lvlJc w:val="right"/>
      <w:pPr>
        <w:ind w:left="5772" w:hanging="180"/>
      </w:pPr>
    </w:lvl>
  </w:abstractNum>
  <w:abstractNum w:abstractNumId="23" w15:restartNumberingAfterBreak="0">
    <w:nsid w:val="399958CC"/>
    <w:multiLevelType w:val="hybridMultilevel"/>
    <w:tmpl w:val="E94CA1BE"/>
    <w:lvl w:ilvl="0" w:tplc="ED206436">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B96CC6"/>
    <w:multiLevelType w:val="hybridMultilevel"/>
    <w:tmpl w:val="6534D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8C111F"/>
    <w:multiLevelType w:val="hybridMultilevel"/>
    <w:tmpl w:val="FCD4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76245D"/>
    <w:multiLevelType w:val="hybridMultilevel"/>
    <w:tmpl w:val="7A6A9A98"/>
    <w:lvl w:ilvl="0" w:tplc="13B0CB9A">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A8B7479"/>
    <w:multiLevelType w:val="hybridMultilevel"/>
    <w:tmpl w:val="6F86D23A"/>
    <w:lvl w:ilvl="0" w:tplc="5114CBD0">
      <w:start w:val="3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03604"/>
    <w:multiLevelType w:val="hybridMultilevel"/>
    <w:tmpl w:val="DDC2E18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3547479"/>
    <w:multiLevelType w:val="hybridMultilevel"/>
    <w:tmpl w:val="CE3459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6E141CD"/>
    <w:multiLevelType w:val="hybridMultilevel"/>
    <w:tmpl w:val="68CCB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B463C"/>
    <w:multiLevelType w:val="hybridMultilevel"/>
    <w:tmpl w:val="AFB2CF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9625078"/>
    <w:multiLevelType w:val="hybridMultilevel"/>
    <w:tmpl w:val="00646F10"/>
    <w:lvl w:ilvl="0" w:tplc="B6F67BEC">
      <w:start w:val="1"/>
      <w:numFmt w:val="bullet"/>
      <w:pStyle w:val="normln-odrky"/>
      <w:lvlText w:val=""/>
      <w:lvlJc w:val="left"/>
      <w:pPr>
        <w:tabs>
          <w:tab w:val="num" w:pos="360"/>
        </w:tabs>
        <w:ind w:left="360" w:hanging="360"/>
      </w:pPr>
      <w:rPr>
        <w:rFonts w:ascii="Symbol" w:hAnsi="Symbol" w:hint="default"/>
      </w:rPr>
    </w:lvl>
    <w:lvl w:ilvl="1" w:tplc="388EFC8C">
      <w:start w:val="1"/>
      <w:numFmt w:val="decimal"/>
      <w:lvlText w:val="%2)"/>
      <w:lvlJc w:val="left"/>
      <w:pPr>
        <w:tabs>
          <w:tab w:val="num" w:pos="1211"/>
        </w:tabs>
        <w:ind w:left="1211" w:hanging="360"/>
      </w:pPr>
      <w:rPr>
        <w:rFonts w:ascii="Arial" w:eastAsia="Times New Roman" w:hAnsi="Arial" w:cs="Arial"/>
        <w:b w:val="0"/>
        <w:i w:val="0"/>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E67649A"/>
    <w:multiLevelType w:val="hybridMultilevel"/>
    <w:tmpl w:val="35D0BB64"/>
    <w:lvl w:ilvl="0" w:tplc="0824BA66">
      <w:start w:val="1"/>
      <w:numFmt w:val="bullet"/>
      <w:lvlText w:val="o"/>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862911"/>
    <w:multiLevelType w:val="hybridMultilevel"/>
    <w:tmpl w:val="784A0A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63CE0FD3"/>
    <w:multiLevelType w:val="hybridMultilevel"/>
    <w:tmpl w:val="9CF85F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658D1772"/>
    <w:multiLevelType w:val="hybridMultilevel"/>
    <w:tmpl w:val="6AACDD62"/>
    <w:lvl w:ilvl="0" w:tplc="0106B27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CDD1BB1"/>
    <w:multiLevelType w:val="hybridMultilevel"/>
    <w:tmpl w:val="6D3C30E6"/>
    <w:lvl w:ilvl="0" w:tplc="C6842B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2E6354"/>
    <w:multiLevelType w:val="hybridMultilevel"/>
    <w:tmpl w:val="B5D43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71680C"/>
    <w:multiLevelType w:val="hybridMultilevel"/>
    <w:tmpl w:val="962EE5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F01B67"/>
    <w:multiLevelType w:val="hybridMultilevel"/>
    <w:tmpl w:val="E47C2446"/>
    <w:lvl w:ilvl="0" w:tplc="8C2E3440">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799B71AD"/>
    <w:multiLevelType w:val="hybridMultilevel"/>
    <w:tmpl w:val="70CCA278"/>
    <w:lvl w:ilvl="0" w:tplc="D8C6B1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7AA55645"/>
    <w:multiLevelType w:val="hybridMultilevel"/>
    <w:tmpl w:val="CE7ADD78"/>
    <w:lvl w:ilvl="0" w:tplc="E6B43D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714CCF"/>
    <w:multiLevelType w:val="hybridMultilevel"/>
    <w:tmpl w:val="6542F9A6"/>
    <w:lvl w:ilvl="0" w:tplc="D2D611D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0"/>
  </w:num>
  <w:num w:numId="2">
    <w:abstractNumId w:val="18"/>
  </w:num>
  <w:num w:numId="3">
    <w:abstractNumId w:val="20"/>
  </w:num>
  <w:num w:numId="4">
    <w:abstractNumId w:val="32"/>
  </w:num>
  <w:num w:numId="5">
    <w:abstractNumId w:val="3"/>
  </w:num>
  <w:num w:numId="6">
    <w:abstractNumId w:val="1"/>
  </w:num>
  <w:num w:numId="7">
    <w:abstractNumId w:val="44"/>
  </w:num>
  <w:num w:numId="8">
    <w:abstractNumId w:val="25"/>
  </w:num>
  <w:num w:numId="9">
    <w:abstractNumId w:val="31"/>
  </w:num>
  <w:num w:numId="10">
    <w:abstractNumId w:val="10"/>
  </w:num>
  <w:num w:numId="11">
    <w:abstractNumId w:val="14"/>
  </w:num>
  <w:num w:numId="12">
    <w:abstractNumId w:val="41"/>
  </w:num>
  <w:num w:numId="13">
    <w:abstractNumId w:val="42"/>
  </w:num>
  <w:num w:numId="14">
    <w:abstractNumId w:val="29"/>
  </w:num>
  <w:num w:numId="15">
    <w:abstractNumId w:val="40"/>
  </w:num>
  <w:num w:numId="16">
    <w:abstractNumId w:val="35"/>
  </w:num>
  <w:num w:numId="17">
    <w:abstractNumId w:val="38"/>
  </w:num>
  <w:num w:numId="18">
    <w:abstractNumId w:val="12"/>
  </w:num>
  <w:num w:numId="19">
    <w:abstractNumId w:val="8"/>
  </w:num>
  <w:num w:numId="20">
    <w:abstractNumId w:val="4"/>
  </w:num>
  <w:num w:numId="21">
    <w:abstractNumId w:val="6"/>
  </w:num>
  <w:num w:numId="22">
    <w:abstractNumId w:val="17"/>
  </w:num>
  <w:num w:numId="23">
    <w:abstractNumId w:val="23"/>
  </w:num>
  <w:num w:numId="24">
    <w:abstractNumId w:val="39"/>
  </w:num>
  <w:num w:numId="25">
    <w:abstractNumId w:val="26"/>
  </w:num>
  <w:num w:numId="26">
    <w:abstractNumId w:val="22"/>
  </w:num>
  <w:num w:numId="27">
    <w:abstractNumId w:val="5"/>
  </w:num>
  <w:num w:numId="28">
    <w:abstractNumId w:val="11"/>
  </w:num>
  <w:num w:numId="29">
    <w:abstractNumId w:val="43"/>
  </w:num>
  <w:num w:numId="30">
    <w:abstractNumId w:val="13"/>
  </w:num>
  <w:num w:numId="31">
    <w:abstractNumId w:val="34"/>
  </w:num>
  <w:num w:numId="32">
    <w:abstractNumId w:val="36"/>
  </w:num>
  <w:num w:numId="33">
    <w:abstractNumId w:val="30"/>
  </w:num>
  <w:num w:numId="34">
    <w:abstractNumId w:val="21"/>
  </w:num>
  <w:num w:numId="35">
    <w:abstractNumId w:val="9"/>
  </w:num>
  <w:num w:numId="36">
    <w:abstractNumId w:val="7"/>
  </w:num>
  <w:num w:numId="37">
    <w:abstractNumId w:val="19"/>
  </w:num>
  <w:num w:numId="38">
    <w:abstractNumId w:val="15"/>
  </w:num>
  <w:num w:numId="39">
    <w:abstractNumId w:val="33"/>
  </w:num>
  <w:num w:numId="40">
    <w:abstractNumId w:val="28"/>
  </w:num>
  <w:num w:numId="41">
    <w:abstractNumId w:val="16"/>
  </w:num>
  <w:num w:numId="42">
    <w:abstractNumId w:val="37"/>
  </w:num>
  <w:num w:numId="43">
    <w:abstractNumId w:val="24"/>
  </w:num>
  <w:num w:numId="44">
    <w:abstractNumId w:val="27"/>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554"/>
    <w:rsid w:val="00001947"/>
    <w:rsid w:val="00004F56"/>
    <w:rsid w:val="0000704E"/>
    <w:rsid w:val="00007077"/>
    <w:rsid w:val="00010094"/>
    <w:rsid w:val="00012D3F"/>
    <w:rsid w:val="000133E6"/>
    <w:rsid w:val="00015E5D"/>
    <w:rsid w:val="000160EF"/>
    <w:rsid w:val="00016576"/>
    <w:rsid w:val="00020C06"/>
    <w:rsid w:val="0002110B"/>
    <w:rsid w:val="00021994"/>
    <w:rsid w:val="000307D4"/>
    <w:rsid w:val="000322F6"/>
    <w:rsid w:val="000351CE"/>
    <w:rsid w:val="000364BF"/>
    <w:rsid w:val="00036E2A"/>
    <w:rsid w:val="00040CD2"/>
    <w:rsid w:val="000429DC"/>
    <w:rsid w:val="000430A4"/>
    <w:rsid w:val="00043BFD"/>
    <w:rsid w:val="00043D9D"/>
    <w:rsid w:val="0004544F"/>
    <w:rsid w:val="000455FB"/>
    <w:rsid w:val="00050439"/>
    <w:rsid w:val="0005350D"/>
    <w:rsid w:val="00054B23"/>
    <w:rsid w:val="0005583A"/>
    <w:rsid w:val="000614EF"/>
    <w:rsid w:val="000617AC"/>
    <w:rsid w:val="0006258F"/>
    <w:rsid w:val="00062FA0"/>
    <w:rsid w:val="00065396"/>
    <w:rsid w:val="00065EF3"/>
    <w:rsid w:val="00065EFD"/>
    <w:rsid w:val="00066D7B"/>
    <w:rsid w:val="00066FD7"/>
    <w:rsid w:val="000701EA"/>
    <w:rsid w:val="00070512"/>
    <w:rsid w:val="00070BAF"/>
    <w:rsid w:val="000710A5"/>
    <w:rsid w:val="0007180B"/>
    <w:rsid w:val="00075BD0"/>
    <w:rsid w:val="00077465"/>
    <w:rsid w:val="00080564"/>
    <w:rsid w:val="000838A9"/>
    <w:rsid w:val="00085C7A"/>
    <w:rsid w:val="000876BB"/>
    <w:rsid w:val="00091335"/>
    <w:rsid w:val="00091404"/>
    <w:rsid w:val="00092A95"/>
    <w:rsid w:val="00092D90"/>
    <w:rsid w:val="00094F80"/>
    <w:rsid w:val="00097341"/>
    <w:rsid w:val="000A5A84"/>
    <w:rsid w:val="000A6D3C"/>
    <w:rsid w:val="000B2780"/>
    <w:rsid w:val="000B2D07"/>
    <w:rsid w:val="000B3D84"/>
    <w:rsid w:val="000B3E2B"/>
    <w:rsid w:val="000B55AF"/>
    <w:rsid w:val="000C2343"/>
    <w:rsid w:val="000C4A33"/>
    <w:rsid w:val="000C69BB"/>
    <w:rsid w:val="000C7CF4"/>
    <w:rsid w:val="000D15F1"/>
    <w:rsid w:val="000D4BF7"/>
    <w:rsid w:val="000D50B5"/>
    <w:rsid w:val="000D7CE8"/>
    <w:rsid w:val="000D7F79"/>
    <w:rsid w:val="000E4068"/>
    <w:rsid w:val="000E4ADA"/>
    <w:rsid w:val="000E5EF4"/>
    <w:rsid w:val="000E7BDB"/>
    <w:rsid w:val="000F03D5"/>
    <w:rsid w:val="000F04C9"/>
    <w:rsid w:val="000F5C14"/>
    <w:rsid w:val="00106A6A"/>
    <w:rsid w:val="001103F3"/>
    <w:rsid w:val="00110A97"/>
    <w:rsid w:val="00111E9F"/>
    <w:rsid w:val="00114555"/>
    <w:rsid w:val="001242A4"/>
    <w:rsid w:val="001242ED"/>
    <w:rsid w:val="00127CBE"/>
    <w:rsid w:val="00130B16"/>
    <w:rsid w:val="001370C3"/>
    <w:rsid w:val="00140B78"/>
    <w:rsid w:val="00152215"/>
    <w:rsid w:val="00152BF2"/>
    <w:rsid w:val="00153264"/>
    <w:rsid w:val="001636FB"/>
    <w:rsid w:val="00163ECA"/>
    <w:rsid w:val="001677F4"/>
    <w:rsid w:val="00167D9C"/>
    <w:rsid w:val="001722B0"/>
    <w:rsid w:val="0017246A"/>
    <w:rsid w:val="00180DAC"/>
    <w:rsid w:val="001812FA"/>
    <w:rsid w:val="00181F8B"/>
    <w:rsid w:val="00182044"/>
    <w:rsid w:val="001833D0"/>
    <w:rsid w:val="00184322"/>
    <w:rsid w:val="00184F31"/>
    <w:rsid w:val="00185D1F"/>
    <w:rsid w:val="00190269"/>
    <w:rsid w:val="00190924"/>
    <w:rsid w:val="00193888"/>
    <w:rsid w:val="00196F68"/>
    <w:rsid w:val="00196FC6"/>
    <w:rsid w:val="001A1676"/>
    <w:rsid w:val="001A46AD"/>
    <w:rsid w:val="001A6456"/>
    <w:rsid w:val="001B3A9B"/>
    <w:rsid w:val="001B4064"/>
    <w:rsid w:val="001B4532"/>
    <w:rsid w:val="001B4CEF"/>
    <w:rsid w:val="001C0774"/>
    <w:rsid w:val="001C1F3E"/>
    <w:rsid w:val="001C22B3"/>
    <w:rsid w:val="001D3091"/>
    <w:rsid w:val="001D40C5"/>
    <w:rsid w:val="001F0106"/>
    <w:rsid w:val="001F1965"/>
    <w:rsid w:val="001F23E0"/>
    <w:rsid w:val="001F37FE"/>
    <w:rsid w:val="001F532E"/>
    <w:rsid w:val="001F6F7C"/>
    <w:rsid w:val="00202087"/>
    <w:rsid w:val="0020434F"/>
    <w:rsid w:val="00213D9E"/>
    <w:rsid w:val="00215688"/>
    <w:rsid w:val="002325E9"/>
    <w:rsid w:val="00236827"/>
    <w:rsid w:val="00237006"/>
    <w:rsid w:val="00251352"/>
    <w:rsid w:val="00251F89"/>
    <w:rsid w:val="00263EF2"/>
    <w:rsid w:val="00265A36"/>
    <w:rsid w:val="00280586"/>
    <w:rsid w:val="002807FC"/>
    <w:rsid w:val="00281D46"/>
    <w:rsid w:val="0028211A"/>
    <w:rsid w:val="00285B23"/>
    <w:rsid w:val="00286ADE"/>
    <w:rsid w:val="00290303"/>
    <w:rsid w:val="002937C8"/>
    <w:rsid w:val="00293A94"/>
    <w:rsid w:val="00294C9E"/>
    <w:rsid w:val="002953DA"/>
    <w:rsid w:val="002A36C0"/>
    <w:rsid w:val="002A590B"/>
    <w:rsid w:val="002A5EDC"/>
    <w:rsid w:val="002A63C3"/>
    <w:rsid w:val="002A6C05"/>
    <w:rsid w:val="002A6E4E"/>
    <w:rsid w:val="002A766E"/>
    <w:rsid w:val="002B131D"/>
    <w:rsid w:val="002B2230"/>
    <w:rsid w:val="002B2F8F"/>
    <w:rsid w:val="002B31C8"/>
    <w:rsid w:val="002C1D52"/>
    <w:rsid w:val="002C3EA8"/>
    <w:rsid w:val="002D0869"/>
    <w:rsid w:val="002D4393"/>
    <w:rsid w:val="002D6D62"/>
    <w:rsid w:val="002E2591"/>
    <w:rsid w:val="002E25E1"/>
    <w:rsid w:val="002E61F3"/>
    <w:rsid w:val="002F1FE7"/>
    <w:rsid w:val="002F282F"/>
    <w:rsid w:val="002F2B2D"/>
    <w:rsid w:val="002F40C8"/>
    <w:rsid w:val="0030134E"/>
    <w:rsid w:val="00304753"/>
    <w:rsid w:val="00306196"/>
    <w:rsid w:val="0030629C"/>
    <w:rsid w:val="00307AE8"/>
    <w:rsid w:val="0031155D"/>
    <w:rsid w:val="00314A8D"/>
    <w:rsid w:val="00314F2F"/>
    <w:rsid w:val="0031511B"/>
    <w:rsid w:val="00320023"/>
    <w:rsid w:val="00322E8A"/>
    <w:rsid w:val="003233B2"/>
    <w:rsid w:val="003313E5"/>
    <w:rsid w:val="00336CDF"/>
    <w:rsid w:val="003415EB"/>
    <w:rsid w:val="0034625D"/>
    <w:rsid w:val="0034669E"/>
    <w:rsid w:val="003535FD"/>
    <w:rsid w:val="003573BA"/>
    <w:rsid w:val="00360293"/>
    <w:rsid w:val="00362CC5"/>
    <w:rsid w:val="003634EE"/>
    <w:rsid w:val="0036476D"/>
    <w:rsid w:val="00365269"/>
    <w:rsid w:val="00365ABB"/>
    <w:rsid w:val="00371E90"/>
    <w:rsid w:val="0037475C"/>
    <w:rsid w:val="00374984"/>
    <w:rsid w:val="0037509B"/>
    <w:rsid w:val="0037726B"/>
    <w:rsid w:val="00377B37"/>
    <w:rsid w:val="00382645"/>
    <w:rsid w:val="00383525"/>
    <w:rsid w:val="003841DF"/>
    <w:rsid w:val="003866D2"/>
    <w:rsid w:val="00387B05"/>
    <w:rsid w:val="003909D2"/>
    <w:rsid w:val="003A1A9A"/>
    <w:rsid w:val="003B31C7"/>
    <w:rsid w:val="003B40D6"/>
    <w:rsid w:val="003B5996"/>
    <w:rsid w:val="003B77F7"/>
    <w:rsid w:val="003B79AF"/>
    <w:rsid w:val="003C1A86"/>
    <w:rsid w:val="003C2A8E"/>
    <w:rsid w:val="003C5E20"/>
    <w:rsid w:val="003C68BE"/>
    <w:rsid w:val="003C6FEC"/>
    <w:rsid w:val="003D7024"/>
    <w:rsid w:val="003E126C"/>
    <w:rsid w:val="003F0E23"/>
    <w:rsid w:val="003F255A"/>
    <w:rsid w:val="003F2EC5"/>
    <w:rsid w:val="003F4B05"/>
    <w:rsid w:val="003F6C5C"/>
    <w:rsid w:val="003F733A"/>
    <w:rsid w:val="0040412F"/>
    <w:rsid w:val="004043A7"/>
    <w:rsid w:val="00407D5A"/>
    <w:rsid w:val="0041165C"/>
    <w:rsid w:val="00411CBB"/>
    <w:rsid w:val="0041219D"/>
    <w:rsid w:val="00416DC1"/>
    <w:rsid w:val="004213DE"/>
    <w:rsid w:val="00421ED8"/>
    <w:rsid w:val="0042258C"/>
    <w:rsid w:val="004227EF"/>
    <w:rsid w:val="00425D54"/>
    <w:rsid w:val="004334A6"/>
    <w:rsid w:val="00433EE9"/>
    <w:rsid w:val="00437FAE"/>
    <w:rsid w:val="00443D5F"/>
    <w:rsid w:val="00444D72"/>
    <w:rsid w:val="00446D21"/>
    <w:rsid w:val="00447D69"/>
    <w:rsid w:val="00447F47"/>
    <w:rsid w:val="004529D1"/>
    <w:rsid w:val="00455DE7"/>
    <w:rsid w:val="004606E9"/>
    <w:rsid w:val="004622BF"/>
    <w:rsid w:val="0046318D"/>
    <w:rsid w:val="0046471D"/>
    <w:rsid w:val="0047005B"/>
    <w:rsid w:val="0047212F"/>
    <w:rsid w:val="004730DD"/>
    <w:rsid w:val="00473EF2"/>
    <w:rsid w:val="0047450C"/>
    <w:rsid w:val="00480116"/>
    <w:rsid w:val="00481332"/>
    <w:rsid w:val="004818EA"/>
    <w:rsid w:val="004930EF"/>
    <w:rsid w:val="00494FB8"/>
    <w:rsid w:val="004A1647"/>
    <w:rsid w:val="004A3183"/>
    <w:rsid w:val="004A4C61"/>
    <w:rsid w:val="004B0112"/>
    <w:rsid w:val="004B0D04"/>
    <w:rsid w:val="004B2008"/>
    <w:rsid w:val="004B361F"/>
    <w:rsid w:val="004B4842"/>
    <w:rsid w:val="004B5DED"/>
    <w:rsid w:val="004C0564"/>
    <w:rsid w:val="004C1415"/>
    <w:rsid w:val="004C4883"/>
    <w:rsid w:val="004D01E9"/>
    <w:rsid w:val="004D03F8"/>
    <w:rsid w:val="004D1577"/>
    <w:rsid w:val="004D328D"/>
    <w:rsid w:val="004D45DB"/>
    <w:rsid w:val="004D6E60"/>
    <w:rsid w:val="004E7557"/>
    <w:rsid w:val="004F1565"/>
    <w:rsid w:val="004F2597"/>
    <w:rsid w:val="004F539F"/>
    <w:rsid w:val="004F5D80"/>
    <w:rsid w:val="004F7016"/>
    <w:rsid w:val="0050097D"/>
    <w:rsid w:val="00501776"/>
    <w:rsid w:val="00501A26"/>
    <w:rsid w:val="00501F34"/>
    <w:rsid w:val="0050262D"/>
    <w:rsid w:val="00504FF0"/>
    <w:rsid w:val="00506A85"/>
    <w:rsid w:val="005111C4"/>
    <w:rsid w:val="00521894"/>
    <w:rsid w:val="00524B3D"/>
    <w:rsid w:val="00526770"/>
    <w:rsid w:val="0053279E"/>
    <w:rsid w:val="00541B58"/>
    <w:rsid w:val="005432EC"/>
    <w:rsid w:val="00545D99"/>
    <w:rsid w:val="005465B2"/>
    <w:rsid w:val="00547918"/>
    <w:rsid w:val="005506EE"/>
    <w:rsid w:val="00550752"/>
    <w:rsid w:val="00553209"/>
    <w:rsid w:val="00555D9E"/>
    <w:rsid w:val="00556E15"/>
    <w:rsid w:val="00560F09"/>
    <w:rsid w:val="005654D8"/>
    <w:rsid w:val="00573759"/>
    <w:rsid w:val="00573A6C"/>
    <w:rsid w:val="005747BD"/>
    <w:rsid w:val="005820AA"/>
    <w:rsid w:val="00584AC4"/>
    <w:rsid w:val="0058507B"/>
    <w:rsid w:val="005872CA"/>
    <w:rsid w:val="0059081D"/>
    <w:rsid w:val="005910A1"/>
    <w:rsid w:val="005921B5"/>
    <w:rsid w:val="00592513"/>
    <w:rsid w:val="00593ADC"/>
    <w:rsid w:val="00594215"/>
    <w:rsid w:val="005A099B"/>
    <w:rsid w:val="005A6B2D"/>
    <w:rsid w:val="005B39F2"/>
    <w:rsid w:val="005B42BC"/>
    <w:rsid w:val="005C0139"/>
    <w:rsid w:val="005C0CD9"/>
    <w:rsid w:val="005C1D24"/>
    <w:rsid w:val="005C27E2"/>
    <w:rsid w:val="005C4C50"/>
    <w:rsid w:val="005C69C5"/>
    <w:rsid w:val="005C749E"/>
    <w:rsid w:val="005D15AC"/>
    <w:rsid w:val="005D7C50"/>
    <w:rsid w:val="005D7F87"/>
    <w:rsid w:val="005E160B"/>
    <w:rsid w:val="005E4397"/>
    <w:rsid w:val="005E43C2"/>
    <w:rsid w:val="005E4607"/>
    <w:rsid w:val="005E4961"/>
    <w:rsid w:val="005E4E73"/>
    <w:rsid w:val="005F0F19"/>
    <w:rsid w:val="005F29EA"/>
    <w:rsid w:val="005F2E4B"/>
    <w:rsid w:val="005F2EBA"/>
    <w:rsid w:val="005F59A8"/>
    <w:rsid w:val="00601E02"/>
    <w:rsid w:val="006047D8"/>
    <w:rsid w:val="00616978"/>
    <w:rsid w:val="00624B30"/>
    <w:rsid w:val="006308BE"/>
    <w:rsid w:val="0063109B"/>
    <w:rsid w:val="006311CA"/>
    <w:rsid w:val="00631F7D"/>
    <w:rsid w:val="006340EF"/>
    <w:rsid w:val="00635691"/>
    <w:rsid w:val="0063686D"/>
    <w:rsid w:val="00636A02"/>
    <w:rsid w:val="006403F3"/>
    <w:rsid w:val="006424C9"/>
    <w:rsid w:val="00643104"/>
    <w:rsid w:val="0065341B"/>
    <w:rsid w:val="00653EB4"/>
    <w:rsid w:val="006628C7"/>
    <w:rsid w:val="00667C58"/>
    <w:rsid w:val="00671DA8"/>
    <w:rsid w:val="00673F37"/>
    <w:rsid w:val="0068071B"/>
    <w:rsid w:val="00680C65"/>
    <w:rsid w:val="006849C2"/>
    <w:rsid w:val="0068629B"/>
    <w:rsid w:val="0069134F"/>
    <w:rsid w:val="00695D64"/>
    <w:rsid w:val="00696158"/>
    <w:rsid w:val="00696ECC"/>
    <w:rsid w:val="006A4FD0"/>
    <w:rsid w:val="006A5B5A"/>
    <w:rsid w:val="006B08CF"/>
    <w:rsid w:val="006B0A2A"/>
    <w:rsid w:val="006B3385"/>
    <w:rsid w:val="006B461A"/>
    <w:rsid w:val="006B6357"/>
    <w:rsid w:val="006C0702"/>
    <w:rsid w:val="006C48FD"/>
    <w:rsid w:val="006C5693"/>
    <w:rsid w:val="006D1B06"/>
    <w:rsid w:val="006D3E22"/>
    <w:rsid w:val="006D6682"/>
    <w:rsid w:val="006E159B"/>
    <w:rsid w:val="006E513F"/>
    <w:rsid w:val="006F16DB"/>
    <w:rsid w:val="006F3210"/>
    <w:rsid w:val="006F34D9"/>
    <w:rsid w:val="006F5075"/>
    <w:rsid w:val="006F7330"/>
    <w:rsid w:val="00700340"/>
    <w:rsid w:val="007065E5"/>
    <w:rsid w:val="0070663C"/>
    <w:rsid w:val="00710342"/>
    <w:rsid w:val="00712D21"/>
    <w:rsid w:val="00720627"/>
    <w:rsid w:val="00720790"/>
    <w:rsid w:val="00722B41"/>
    <w:rsid w:val="00724072"/>
    <w:rsid w:val="00730B5D"/>
    <w:rsid w:val="00731893"/>
    <w:rsid w:val="00732DFE"/>
    <w:rsid w:val="007336B6"/>
    <w:rsid w:val="00734A88"/>
    <w:rsid w:val="00735FE3"/>
    <w:rsid w:val="00740AE8"/>
    <w:rsid w:val="00741339"/>
    <w:rsid w:val="007443D2"/>
    <w:rsid w:val="0074628F"/>
    <w:rsid w:val="00750FEC"/>
    <w:rsid w:val="00753484"/>
    <w:rsid w:val="007566C8"/>
    <w:rsid w:val="00760E75"/>
    <w:rsid w:val="00762E74"/>
    <w:rsid w:val="007714AA"/>
    <w:rsid w:val="00772D7C"/>
    <w:rsid w:val="0077662E"/>
    <w:rsid w:val="0078058C"/>
    <w:rsid w:val="00780919"/>
    <w:rsid w:val="00780941"/>
    <w:rsid w:val="0078363A"/>
    <w:rsid w:val="007868F4"/>
    <w:rsid w:val="007906E0"/>
    <w:rsid w:val="00791605"/>
    <w:rsid w:val="00792BA3"/>
    <w:rsid w:val="007A0233"/>
    <w:rsid w:val="007A10FD"/>
    <w:rsid w:val="007A1E61"/>
    <w:rsid w:val="007A4C4C"/>
    <w:rsid w:val="007A645B"/>
    <w:rsid w:val="007B178D"/>
    <w:rsid w:val="007B18DC"/>
    <w:rsid w:val="007B6D46"/>
    <w:rsid w:val="007B6D77"/>
    <w:rsid w:val="007C02E4"/>
    <w:rsid w:val="007C25B8"/>
    <w:rsid w:val="007C3061"/>
    <w:rsid w:val="007C4C05"/>
    <w:rsid w:val="007D2D04"/>
    <w:rsid w:val="007D48E8"/>
    <w:rsid w:val="007E0254"/>
    <w:rsid w:val="007E0B6F"/>
    <w:rsid w:val="007E1196"/>
    <w:rsid w:val="007E293D"/>
    <w:rsid w:val="007E4ECD"/>
    <w:rsid w:val="007E7C1C"/>
    <w:rsid w:val="007F0E24"/>
    <w:rsid w:val="007F19D7"/>
    <w:rsid w:val="007F2D01"/>
    <w:rsid w:val="007F438A"/>
    <w:rsid w:val="00801957"/>
    <w:rsid w:val="00804F8D"/>
    <w:rsid w:val="00810AA0"/>
    <w:rsid w:val="00817392"/>
    <w:rsid w:val="008259B7"/>
    <w:rsid w:val="008305C4"/>
    <w:rsid w:val="00831406"/>
    <w:rsid w:val="00832EFE"/>
    <w:rsid w:val="00835B7A"/>
    <w:rsid w:val="0083781E"/>
    <w:rsid w:val="0084379E"/>
    <w:rsid w:val="00843E03"/>
    <w:rsid w:val="00845823"/>
    <w:rsid w:val="00850DF2"/>
    <w:rsid w:val="0085381A"/>
    <w:rsid w:val="0085507C"/>
    <w:rsid w:val="00856E01"/>
    <w:rsid w:val="00857720"/>
    <w:rsid w:val="00861051"/>
    <w:rsid w:val="00871BE6"/>
    <w:rsid w:val="00873042"/>
    <w:rsid w:val="00874E3A"/>
    <w:rsid w:val="008756F6"/>
    <w:rsid w:val="008858F2"/>
    <w:rsid w:val="008869F7"/>
    <w:rsid w:val="008876FB"/>
    <w:rsid w:val="00892A78"/>
    <w:rsid w:val="00897402"/>
    <w:rsid w:val="008A076C"/>
    <w:rsid w:val="008A3D90"/>
    <w:rsid w:val="008A47BF"/>
    <w:rsid w:val="008A581A"/>
    <w:rsid w:val="008A5E8C"/>
    <w:rsid w:val="008B0D06"/>
    <w:rsid w:val="008B19A7"/>
    <w:rsid w:val="008B2768"/>
    <w:rsid w:val="008B3784"/>
    <w:rsid w:val="008B6B6D"/>
    <w:rsid w:val="008C271D"/>
    <w:rsid w:val="008C416C"/>
    <w:rsid w:val="008C6556"/>
    <w:rsid w:val="008C7C4A"/>
    <w:rsid w:val="008D0383"/>
    <w:rsid w:val="008D4DA4"/>
    <w:rsid w:val="008D571E"/>
    <w:rsid w:val="008E0833"/>
    <w:rsid w:val="008E143E"/>
    <w:rsid w:val="008E57BD"/>
    <w:rsid w:val="008E6D31"/>
    <w:rsid w:val="008E73E6"/>
    <w:rsid w:val="008F1114"/>
    <w:rsid w:val="008F3382"/>
    <w:rsid w:val="008F5C58"/>
    <w:rsid w:val="008F77F6"/>
    <w:rsid w:val="009021EA"/>
    <w:rsid w:val="00910B1F"/>
    <w:rsid w:val="009111E6"/>
    <w:rsid w:val="00912F0C"/>
    <w:rsid w:val="0091677A"/>
    <w:rsid w:val="00916D26"/>
    <w:rsid w:val="00920A07"/>
    <w:rsid w:val="00921F88"/>
    <w:rsid w:val="009224F3"/>
    <w:rsid w:val="0093210F"/>
    <w:rsid w:val="00933363"/>
    <w:rsid w:val="00933786"/>
    <w:rsid w:val="009406BB"/>
    <w:rsid w:val="009413E8"/>
    <w:rsid w:val="00943393"/>
    <w:rsid w:val="00943537"/>
    <w:rsid w:val="00944EA3"/>
    <w:rsid w:val="00944EC7"/>
    <w:rsid w:val="009457B1"/>
    <w:rsid w:val="0095154A"/>
    <w:rsid w:val="009515BB"/>
    <w:rsid w:val="009520BB"/>
    <w:rsid w:val="009527EF"/>
    <w:rsid w:val="0095292D"/>
    <w:rsid w:val="0095476B"/>
    <w:rsid w:val="009561E5"/>
    <w:rsid w:val="00957C24"/>
    <w:rsid w:val="00960BE7"/>
    <w:rsid w:val="00964272"/>
    <w:rsid w:val="00966678"/>
    <w:rsid w:val="00971DB1"/>
    <w:rsid w:val="00971FB9"/>
    <w:rsid w:val="0097419F"/>
    <w:rsid w:val="009758E5"/>
    <w:rsid w:val="0098461C"/>
    <w:rsid w:val="009867C6"/>
    <w:rsid w:val="00991B8D"/>
    <w:rsid w:val="009926B9"/>
    <w:rsid w:val="009A168D"/>
    <w:rsid w:val="009A4156"/>
    <w:rsid w:val="009B302C"/>
    <w:rsid w:val="009B65FE"/>
    <w:rsid w:val="009C115A"/>
    <w:rsid w:val="009C7518"/>
    <w:rsid w:val="009D0590"/>
    <w:rsid w:val="009D0A50"/>
    <w:rsid w:val="009D1FDA"/>
    <w:rsid w:val="009D2D79"/>
    <w:rsid w:val="009D3C76"/>
    <w:rsid w:val="009D3F45"/>
    <w:rsid w:val="009E054C"/>
    <w:rsid w:val="009E0F3E"/>
    <w:rsid w:val="009E1D0D"/>
    <w:rsid w:val="009E2AF8"/>
    <w:rsid w:val="009E51AD"/>
    <w:rsid w:val="009F119A"/>
    <w:rsid w:val="009F1299"/>
    <w:rsid w:val="009F1B63"/>
    <w:rsid w:val="009F3B71"/>
    <w:rsid w:val="009F50D3"/>
    <w:rsid w:val="009F60FC"/>
    <w:rsid w:val="009F76E9"/>
    <w:rsid w:val="00A00ACC"/>
    <w:rsid w:val="00A0212E"/>
    <w:rsid w:val="00A045C9"/>
    <w:rsid w:val="00A0521C"/>
    <w:rsid w:val="00A07060"/>
    <w:rsid w:val="00A07A86"/>
    <w:rsid w:val="00A07DA5"/>
    <w:rsid w:val="00A07E58"/>
    <w:rsid w:val="00A139E8"/>
    <w:rsid w:val="00A1434B"/>
    <w:rsid w:val="00A20F17"/>
    <w:rsid w:val="00A2250B"/>
    <w:rsid w:val="00A23268"/>
    <w:rsid w:val="00A238B5"/>
    <w:rsid w:val="00A23E77"/>
    <w:rsid w:val="00A24977"/>
    <w:rsid w:val="00A2623A"/>
    <w:rsid w:val="00A27DD1"/>
    <w:rsid w:val="00A33138"/>
    <w:rsid w:val="00A4091D"/>
    <w:rsid w:val="00A41F79"/>
    <w:rsid w:val="00A42026"/>
    <w:rsid w:val="00A45F19"/>
    <w:rsid w:val="00A50988"/>
    <w:rsid w:val="00A5172A"/>
    <w:rsid w:val="00A51874"/>
    <w:rsid w:val="00A53FE4"/>
    <w:rsid w:val="00A5408F"/>
    <w:rsid w:val="00A55B3A"/>
    <w:rsid w:val="00A600B0"/>
    <w:rsid w:val="00A62535"/>
    <w:rsid w:val="00A62CCD"/>
    <w:rsid w:val="00A62CEE"/>
    <w:rsid w:val="00A63760"/>
    <w:rsid w:val="00A64CE0"/>
    <w:rsid w:val="00A651ED"/>
    <w:rsid w:val="00A7077F"/>
    <w:rsid w:val="00A70C58"/>
    <w:rsid w:val="00A7108C"/>
    <w:rsid w:val="00A71F63"/>
    <w:rsid w:val="00A72324"/>
    <w:rsid w:val="00A72DE7"/>
    <w:rsid w:val="00A75DCA"/>
    <w:rsid w:val="00A85329"/>
    <w:rsid w:val="00A855F6"/>
    <w:rsid w:val="00A85EC4"/>
    <w:rsid w:val="00A87851"/>
    <w:rsid w:val="00A87F13"/>
    <w:rsid w:val="00A93EDC"/>
    <w:rsid w:val="00A956CC"/>
    <w:rsid w:val="00A95A08"/>
    <w:rsid w:val="00A9684D"/>
    <w:rsid w:val="00A96BB1"/>
    <w:rsid w:val="00AA0833"/>
    <w:rsid w:val="00AA1B72"/>
    <w:rsid w:val="00AA41FE"/>
    <w:rsid w:val="00AA6345"/>
    <w:rsid w:val="00AA6A69"/>
    <w:rsid w:val="00AB1EFD"/>
    <w:rsid w:val="00AB307C"/>
    <w:rsid w:val="00AB33A7"/>
    <w:rsid w:val="00AB3834"/>
    <w:rsid w:val="00AB3E49"/>
    <w:rsid w:val="00AB4586"/>
    <w:rsid w:val="00AC278B"/>
    <w:rsid w:val="00AC5502"/>
    <w:rsid w:val="00AC7236"/>
    <w:rsid w:val="00AD1A38"/>
    <w:rsid w:val="00AD1B74"/>
    <w:rsid w:val="00AD3B75"/>
    <w:rsid w:val="00AD5458"/>
    <w:rsid w:val="00AD709D"/>
    <w:rsid w:val="00AE1EE1"/>
    <w:rsid w:val="00AE4A6C"/>
    <w:rsid w:val="00AE7471"/>
    <w:rsid w:val="00AF0F25"/>
    <w:rsid w:val="00AF1CAE"/>
    <w:rsid w:val="00AF2281"/>
    <w:rsid w:val="00AF4815"/>
    <w:rsid w:val="00B04708"/>
    <w:rsid w:val="00B11580"/>
    <w:rsid w:val="00B13C0C"/>
    <w:rsid w:val="00B13F1C"/>
    <w:rsid w:val="00B13F46"/>
    <w:rsid w:val="00B142E6"/>
    <w:rsid w:val="00B16976"/>
    <w:rsid w:val="00B201D3"/>
    <w:rsid w:val="00B24EAB"/>
    <w:rsid w:val="00B26B43"/>
    <w:rsid w:val="00B3055C"/>
    <w:rsid w:val="00B32310"/>
    <w:rsid w:val="00B33F0F"/>
    <w:rsid w:val="00B3568B"/>
    <w:rsid w:val="00B37A2A"/>
    <w:rsid w:val="00B37A6F"/>
    <w:rsid w:val="00B41629"/>
    <w:rsid w:val="00B45689"/>
    <w:rsid w:val="00B54BE5"/>
    <w:rsid w:val="00B54D61"/>
    <w:rsid w:val="00B55709"/>
    <w:rsid w:val="00B60AD2"/>
    <w:rsid w:val="00B66469"/>
    <w:rsid w:val="00B67DBD"/>
    <w:rsid w:val="00B71C13"/>
    <w:rsid w:val="00B71E63"/>
    <w:rsid w:val="00B72020"/>
    <w:rsid w:val="00B72D38"/>
    <w:rsid w:val="00B75636"/>
    <w:rsid w:val="00B769E9"/>
    <w:rsid w:val="00B776E5"/>
    <w:rsid w:val="00B81941"/>
    <w:rsid w:val="00B86F23"/>
    <w:rsid w:val="00B909F6"/>
    <w:rsid w:val="00B9243E"/>
    <w:rsid w:val="00B96849"/>
    <w:rsid w:val="00BA0320"/>
    <w:rsid w:val="00BA0452"/>
    <w:rsid w:val="00BA2505"/>
    <w:rsid w:val="00BA3F68"/>
    <w:rsid w:val="00BA68EA"/>
    <w:rsid w:val="00BA6C05"/>
    <w:rsid w:val="00BB12B7"/>
    <w:rsid w:val="00BB381B"/>
    <w:rsid w:val="00BB5806"/>
    <w:rsid w:val="00BB70CC"/>
    <w:rsid w:val="00BC137C"/>
    <w:rsid w:val="00BC1F20"/>
    <w:rsid w:val="00BC4B41"/>
    <w:rsid w:val="00BD331D"/>
    <w:rsid w:val="00BD4D3A"/>
    <w:rsid w:val="00BE3959"/>
    <w:rsid w:val="00BE55CB"/>
    <w:rsid w:val="00BF014C"/>
    <w:rsid w:val="00C0193B"/>
    <w:rsid w:val="00C021B3"/>
    <w:rsid w:val="00C02D34"/>
    <w:rsid w:val="00C03C57"/>
    <w:rsid w:val="00C0670F"/>
    <w:rsid w:val="00C07578"/>
    <w:rsid w:val="00C0757C"/>
    <w:rsid w:val="00C11A9B"/>
    <w:rsid w:val="00C12A14"/>
    <w:rsid w:val="00C157AA"/>
    <w:rsid w:val="00C27E4D"/>
    <w:rsid w:val="00C31F9C"/>
    <w:rsid w:val="00C33097"/>
    <w:rsid w:val="00C34CE7"/>
    <w:rsid w:val="00C376B2"/>
    <w:rsid w:val="00C40F34"/>
    <w:rsid w:val="00C41933"/>
    <w:rsid w:val="00C42797"/>
    <w:rsid w:val="00C43FD3"/>
    <w:rsid w:val="00C4443F"/>
    <w:rsid w:val="00C454E2"/>
    <w:rsid w:val="00C5382A"/>
    <w:rsid w:val="00C54867"/>
    <w:rsid w:val="00C55D99"/>
    <w:rsid w:val="00C5658B"/>
    <w:rsid w:val="00C601FD"/>
    <w:rsid w:val="00C61B50"/>
    <w:rsid w:val="00C61B7A"/>
    <w:rsid w:val="00C654CC"/>
    <w:rsid w:val="00C67CBD"/>
    <w:rsid w:val="00C7435E"/>
    <w:rsid w:val="00C75A67"/>
    <w:rsid w:val="00C768F6"/>
    <w:rsid w:val="00C778AF"/>
    <w:rsid w:val="00C83E54"/>
    <w:rsid w:val="00C858A5"/>
    <w:rsid w:val="00C858E5"/>
    <w:rsid w:val="00C85AEF"/>
    <w:rsid w:val="00C91406"/>
    <w:rsid w:val="00C9263D"/>
    <w:rsid w:val="00C92DCD"/>
    <w:rsid w:val="00C94CC4"/>
    <w:rsid w:val="00C94F66"/>
    <w:rsid w:val="00C96B46"/>
    <w:rsid w:val="00CA0276"/>
    <w:rsid w:val="00CA0320"/>
    <w:rsid w:val="00CA0AA5"/>
    <w:rsid w:val="00CA0B52"/>
    <w:rsid w:val="00CA15A4"/>
    <w:rsid w:val="00CA2D0A"/>
    <w:rsid w:val="00CA44DF"/>
    <w:rsid w:val="00CA713E"/>
    <w:rsid w:val="00CA7313"/>
    <w:rsid w:val="00CB2433"/>
    <w:rsid w:val="00CB4CAA"/>
    <w:rsid w:val="00CB4D9D"/>
    <w:rsid w:val="00CB55ED"/>
    <w:rsid w:val="00CB6958"/>
    <w:rsid w:val="00CB6E5C"/>
    <w:rsid w:val="00CC0B2F"/>
    <w:rsid w:val="00CC1377"/>
    <w:rsid w:val="00CC2F17"/>
    <w:rsid w:val="00CC33B2"/>
    <w:rsid w:val="00CC370F"/>
    <w:rsid w:val="00CC6D5B"/>
    <w:rsid w:val="00CD0C85"/>
    <w:rsid w:val="00CD6CA4"/>
    <w:rsid w:val="00CD6E70"/>
    <w:rsid w:val="00CE20EC"/>
    <w:rsid w:val="00CE2978"/>
    <w:rsid w:val="00CE495A"/>
    <w:rsid w:val="00CE5B82"/>
    <w:rsid w:val="00CE713B"/>
    <w:rsid w:val="00CF0185"/>
    <w:rsid w:val="00CF2648"/>
    <w:rsid w:val="00CF5287"/>
    <w:rsid w:val="00D02E32"/>
    <w:rsid w:val="00D03B61"/>
    <w:rsid w:val="00D145C1"/>
    <w:rsid w:val="00D1522E"/>
    <w:rsid w:val="00D162F1"/>
    <w:rsid w:val="00D23214"/>
    <w:rsid w:val="00D24A46"/>
    <w:rsid w:val="00D26A33"/>
    <w:rsid w:val="00D278E9"/>
    <w:rsid w:val="00D322E7"/>
    <w:rsid w:val="00D34CFA"/>
    <w:rsid w:val="00D3555C"/>
    <w:rsid w:val="00D377DA"/>
    <w:rsid w:val="00D40BD8"/>
    <w:rsid w:val="00D41512"/>
    <w:rsid w:val="00D41CC2"/>
    <w:rsid w:val="00D41E14"/>
    <w:rsid w:val="00D455BE"/>
    <w:rsid w:val="00D46DEB"/>
    <w:rsid w:val="00D50282"/>
    <w:rsid w:val="00D52017"/>
    <w:rsid w:val="00D52418"/>
    <w:rsid w:val="00D529B9"/>
    <w:rsid w:val="00D57387"/>
    <w:rsid w:val="00D63151"/>
    <w:rsid w:val="00D63849"/>
    <w:rsid w:val="00D737C5"/>
    <w:rsid w:val="00D74A13"/>
    <w:rsid w:val="00D76AC0"/>
    <w:rsid w:val="00D76ED1"/>
    <w:rsid w:val="00D80288"/>
    <w:rsid w:val="00D80C39"/>
    <w:rsid w:val="00D82FF5"/>
    <w:rsid w:val="00D86BE0"/>
    <w:rsid w:val="00D87DCE"/>
    <w:rsid w:val="00DA09C6"/>
    <w:rsid w:val="00DA3FD8"/>
    <w:rsid w:val="00DA43AA"/>
    <w:rsid w:val="00DA5D0D"/>
    <w:rsid w:val="00DC12E2"/>
    <w:rsid w:val="00DC25E3"/>
    <w:rsid w:val="00DC3453"/>
    <w:rsid w:val="00DC37D7"/>
    <w:rsid w:val="00DC5FE9"/>
    <w:rsid w:val="00DD0263"/>
    <w:rsid w:val="00DD296A"/>
    <w:rsid w:val="00DD5AD7"/>
    <w:rsid w:val="00DD603C"/>
    <w:rsid w:val="00DE149E"/>
    <w:rsid w:val="00DE16A0"/>
    <w:rsid w:val="00DE2739"/>
    <w:rsid w:val="00DE3487"/>
    <w:rsid w:val="00DE3852"/>
    <w:rsid w:val="00DE5487"/>
    <w:rsid w:val="00DF0492"/>
    <w:rsid w:val="00DF0DEC"/>
    <w:rsid w:val="00DF33F8"/>
    <w:rsid w:val="00E01EE3"/>
    <w:rsid w:val="00E03A2F"/>
    <w:rsid w:val="00E047BB"/>
    <w:rsid w:val="00E100C5"/>
    <w:rsid w:val="00E10CA0"/>
    <w:rsid w:val="00E118BA"/>
    <w:rsid w:val="00E13439"/>
    <w:rsid w:val="00E16EFF"/>
    <w:rsid w:val="00E179B8"/>
    <w:rsid w:val="00E27120"/>
    <w:rsid w:val="00E32B32"/>
    <w:rsid w:val="00E3795A"/>
    <w:rsid w:val="00E4031F"/>
    <w:rsid w:val="00E44842"/>
    <w:rsid w:val="00E44CDC"/>
    <w:rsid w:val="00E5391C"/>
    <w:rsid w:val="00E61231"/>
    <w:rsid w:val="00E62B5D"/>
    <w:rsid w:val="00E63066"/>
    <w:rsid w:val="00E70519"/>
    <w:rsid w:val="00E70614"/>
    <w:rsid w:val="00E70BBD"/>
    <w:rsid w:val="00E74B1F"/>
    <w:rsid w:val="00E74D0F"/>
    <w:rsid w:val="00E75212"/>
    <w:rsid w:val="00E811B4"/>
    <w:rsid w:val="00E82464"/>
    <w:rsid w:val="00E82C93"/>
    <w:rsid w:val="00E83FA8"/>
    <w:rsid w:val="00E87F8C"/>
    <w:rsid w:val="00E90863"/>
    <w:rsid w:val="00E90B62"/>
    <w:rsid w:val="00E90F18"/>
    <w:rsid w:val="00E93E53"/>
    <w:rsid w:val="00EA2070"/>
    <w:rsid w:val="00EA7108"/>
    <w:rsid w:val="00EB39FB"/>
    <w:rsid w:val="00EB421D"/>
    <w:rsid w:val="00EC1576"/>
    <w:rsid w:val="00EC30CA"/>
    <w:rsid w:val="00EC4F6C"/>
    <w:rsid w:val="00EC6B22"/>
    <w:rsid w:val="00ED1337"/>
    <w:rsid w:val="00ED1365"/>
    <w:rsid w:val="00ED3CD3"/>
    <w:rsid w:val="00ED4BA5"/>
    <w:rsid w:val="00ED54B2"/>
    <w:rsid w:val="00ED648A"/>
    <w:rsid w:val="00EE0571"/>
    <w:rsid w:val="00EE20AD"/>
    <w:rsid w:val="00EE443D"/>
    <w:rsid w:val="00EE6AAE"/>
    <w:rsid w:val="00EF478D"/>
    <w:rsid w:val="00F00D97"/>
    <w:rsid w:val="00F01234"/>
    <w:rsid w:val="00F0670F"/>
    <w:rsid w:val="00F13C94"/>
    <w:rsid w:val="00F173F1"/>
    <w:rsid w:val="00F17AC4"/>
    <w:rsid w:val="00F20CD4"/>
    <w:rsid w:val="00F20E39"/>
    <w:rsid w:val="00F22BEB"/>
    <w:rsid w:val="00F26506"/>
    <w:rsid w:val="00F26778"/>
    <w:rsid w:val="00F36208"/>
    <w:rsid w:val="00F407FC"/>
    <w:rsid w:val="00F4221D"/>
    <w:rsid w:val="00F42E25"/>
    <w:rsid w:val="00F44668"/>
    <w:rsid w:val="00F47083"/>
    <w:rsid w:val="00F50C7E"/>
    <w:rsid w:val="00F5104A"/>
    <w:rsid w:val="00F5213C"/>
    <w:rsid w:val="00F54A73"/>
    <w:rsid w:val="00F565FD"/>
    <w:rsid w:val="00F644BD"/>
    <w:rsid w:val="00F65144"/>
    <w:rsid w:val="00F659EA"/>
    <w:rsid w:val="00F66A89"/>
    <w:rsid w:val="00F73194"/>
    <w:rsid w:val="00F74660"/>
    <w:rsid w:val="00F759AD"/>
    <w:rsid w:val="00F764A7"/>
    <w:rsid w:val="00F775AD"/>
    <w:rsid w:val="00F80D1A"/>
    <w:rsid w:val="00F8101A"/>
    <w:rsid w:val="00F85F64"/>
    <w:rsid w:val="00F9208C"/>
    <w:rsid w:val="00F9369C"/>
    <w:rsid w:val="00F95229"/>
    <w:rsid w:val="00F97069"/>
    <w:rsid w:val="00FA036F"/>
    <w:rsid w:val="00FA6324"/>
    <w:rsid w:val="00FB412D"/>
    <w:rsid w:val="00FB4178"/>
    <w:rsid w:val="00FB513E"/>
    <w:rsid w:val="00FB5702"/>
    <w:rsid w:val="00FD0261"/>
    <w:rsid w:val="00FD0F31"/>
    <w:rsid w:val="00FD4AEB"/>
    <w:rsid w:val="00FD506B"/>
    <w:rsid w:val="00FD5BA2"/>
    <w:rsid w:val="00FD7938"/>
    <w:rsid w:val="00FE4EF9"/>
    <w:rsid w:val="00FE5AC9"/>
    <w:rsid w:val="00FE6F90"/>
    <w:rsid w:val="00FE7EA6"/>
    <w:rsid w:val="00FF5664"/>
    <w:rsid w:val="00FF5974"/>
    <w:rsid w:val="00FF63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F8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35F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uiPriority w:val="99"/>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aliases w:val="Nad,Odstavec_muj,Název grafu,nad 1"/>
    <w:basedOn w:val="Normln"/>
    <w:link w:val="OdstavecseseznamemChar"/>
    <w:uiPriority w:val="34"/>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B24EAB"/>
    <w:rPr>
      <w:color w:val="153B88"/>
      <w:u w:val="single"/>
    </w:rPr>
  </w:style>
  <w:style w:type="character" w:customStyle="1" w:styleId="material-noaccess-link">
    <w:name w:val="material-noaccess-link"/>
    <w:basedOn w:val="Standardnpsmoodstavce"/>
    <w:rsid w:val="00B24EAB"/>
  </w:style>
  <w:style w:type="character" w:customStyle="1" w:styleId="OdstavecseseznamemChar">
    <w:name w:val="Odstavec se seznamem Char"/>
    <w:aliases w:val="Nad Char,Odstavec_muj Char,Název grafu Char,nad 1 Char"/>
    <w:link w:val="Odstavecseseznamem"/>
    <w:uiPriority w:val="34"/>
    <w:locked/>
    <w:rsid w:val="007566C8"/>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F20CD4"/>
    <w:rPr>
      <w:color w:val="800080" w:themeColor="followedHyperlink"/>
      <w:u w:val="single"/>
    </w:rPr>
  </w:style>
  <w:style w:type="paragraph" w:styleId="Textpoznpodarou">
    <w:name w:val="footnote text"/>
    <w:basedOn w:val="Normln"/>
    <w:link w:val="TextpoznpodarouChar"/>
    <w:uiPriority w:val="99"/>
    <w:semiHidden/>
    <w:unhideWhenUsed/>
    <w:rsid w:val="00C157AA"/>
    <w:rPr>
      <w:sz w:val="20"/>
      <w:szCs w:val="20"/>
    </w:rPr>
  </w:style>
  <w:style w:type="character" w:customStyle="1" w:styleId="TextpoznpodarouChar">
    <w:name w:val="Text pozn. pod čarou Char"/>
    <w:basedOn w:val="Standardnpsmoodstavce"/>
    <w:link w:val="Textpoznpodarou"/>
    <w:uiPriority w:val="99"/>
    <w:semiHidden/>
    <w:rsid w:val="00C157AA"/>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157AA"/>
    <w:rPr>
      <w:vertAlign w:val="superscript"/>
    </w:rPr>
  </w:style>
  <w:style w:type="character" w:styleId="Siln">
    <w:name w:val="Strong"/>
    <w:basedOn w:val="Standardnpsmoodstavce"/>
    <w:uiPriority w:val="22"/>
    <w:qFormat/>
    <w:rsid w:val="0031511B"/>
    <w:rPr>
      <w:b/>
      <w:bCs/>
    </w:rPr>
  </w:style>
  <w:style w:type="character" w:styleId="Odkaznakoment">
    <w:name w:val="annotation reference"/>
    <w:basedOn w:val="Standardnpsmoodstavce"/>
    <w:uiPriority w:val="99"/>
    <w:semiHidden/>
    <w:unhideWhenUsed/>
    <w:rsid w:val="009561E5"/>
    <w:rPr>
      <w:sz w:val="16"/>
      <w:szCs w:val="16"/>
    </w:rPr>
  </w:style>
  <w:style w:type="paragraph" w:styleId="Textkomente">
    <w:name w:val="annotation text"/>
    <w:basedOn w:val="Normln"/>
    <w:link w:val="TextkomenteChar"/>
    <w:unhideWhenUsed/>
    <w:rsid w:val="009561E5"/>
    <w:rPr>
      <w:sz w:val="20"/>
      <w:szCs w:val="20"/>
    </w:rPr>
  </w:style>
  <w:style w:type="character" w:customStyle="1" w:styleId="TextkomenteChar">
    <w:name w:val="Text komentáře Char"/>
    <w:basedOn w:val="Standardnpsmoodstavce"/>
    <w:link w:val="Textkomente"/>
    <w:rsid w:val="009561E5"/>
    <w:rPr>
      <w:rFonts w:ascii="Times New Roman" w:eastAsia="Times New Roman" w:hAnsi="Times New Roman" w:cs="Times New Roman"/>
      <w:sz w:val="20"/>
      <w:szCs w:val="20"/>
      <w:lang w:eastAsia="cs-CZ"/>
    </w:rPr>
  </w:style>
  <w:style w:type="numbering" w:customStyle="1" w:styleId="StylSodrkami">
    <w:name w:val="Styl S odrážkami"/>
    <w:rsid w:val="009561E5"/>
    <w:pPr>
      <w:numPr>
        <w:numId w:val="36"/>
      </w:numPr>
    </w:pPr>
  </w:style>
  <w:style w:type="paragraph" w:customStyle="1" w:styleId="Tlotextu">
    <w:name w:val="Tělo textu"/>
    <w:basedOn w:val="Normln"/>
    <w:uiPriority w:val="99"/>
    <w:rsid w:val="00C601FD"/>
    <w:pPr>
      <w:widowControl w:val="0"/>
      <w:suppressAutoHyphens/>
      <w:spacing w:before="113" w:line="288" w:lineRule="auto"/>
      <w:jc w:val="both"/>
    </w:pPr>
    <w:rPr>
      <w:rFonts w:asciiTheme="minorHAnsi" w:eastAsiaTheme="minorHAnsi" w:hAnsiTheme="minorHAnsi" w:cstheme="minorBidi"/>
      <w:lang w:eastAsia="zh-CN"/>
    </w:rPr>
  </w:style>
  <w:style w:type="paragraph" w:customStyle="1" w:styleId="CharCharCharCharCharCharCharCharCharCharCharChar">
    <w:name w:val="Char Char Char Char Char Char Char Char Char Char Char Char"/>
    <w:basedOn w:val="Normln"/>
    <w:rsid w:val="001242ED"/>
    <w:pPr>
      <w:spacing w:after="160" w:line="240" w:lineRule="exact"/>
    </w:pPr>
    <w:rPr>
      <w:rFonts w:ascii="Tahoma" w:hAnsi="Tahoma"/>
      <w:sz w:val="20"/>
      <w:szCs w:val="20"/>
      <w:lang w:val="en-US" w:eastAsia="en-US"/>
    </w:rPr>
  </w:style>
  <w:style w:type="paragraph" w:customStyle="1" w:styleId="BnCharCharCharChar">
    <w:name w:val="Běžný Char Char Char Char"/>
    <w:basedOn w:val="Normln"/>
    <w:link w:val="BnCharCharCharCharChar"/>
    <w:rsid w:val="00C83E54"/>
    <w:pPr>
      <w:spacing w:before="120" w:after="120"/>
      <w:ind w:firstLine="340"/>
      <w:jc w:val="both"/>
    </w:pPr>
    <w:rPr>
      <w:rFonts w:eastAsia="Batang"/>
    </w:rPr>
  </w:style>
  <w:style w:type="character" w:customStyle="1" w:styleId="BnCharCharCharCharChar">
    <w:name w:val="Běžný Char Char Char Char Char"/>
    <w:link w:val="BnCharCharCharChar"/>
    <w:rsid w:val="00C83E54"/>
    <w:rPr>
      <w:rFonts w:ascii="Times New Roman" w:eastAsia="Batang"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4730DD"/>
    <w:rPr>
      <w:b/>
      <w:bCs/>
    </w:rPr>
  </w:style>
  <w:style w:type="character" w:customStyle="1" w:styleId="PedmtkomenteChar">
    <w:name w:val="Předmět komentáře Char"/>
    <w:basedOn w:val="TextkomenteChar"/>
    <w:link w:val="Pedmtkomente"/>
    <w:uiPriority w:val="99"/>
    <w:semiHidden/>
    <w:rsid w:val="004730DD"/>
    <w:rPr>
      <w:rFonts w:ascii="Times New Roman" w:eastAsia="Times New Roman" w:hAnsi="Times New Roman" w:cs="Times New Roman"/>
      <w:b/>
      <w:bCs/>
      <w:sz w:val="20"/>
      <w:szCs w:val="20"/>
      <w:lang w:eastAsia="cs-CZ"/>
    </w:rPr>
  </w:style>
  <w:style w:type="paragraph" w:customStyle="1" w:styleId="CharCharCharCharCharCharCharCharCharCharCharChar0">
    <w:name w:val="Char Char Char Char Char Char Char Char Char Char Char Char"/>
    <w:basedOn w:val="Normln"/>
    <w:rsid w:val="0000704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168">
      <w:bodyDiv w:val="1"/>
      <w:marLeft w:val="0"/>
      <w:marRight w:val="0"/>
      <w:marTop w:val="0"/>
      <w:marBottom w:val="0"/>
      <w:divBdr>
        <w:top w:val="none" w:sz="0" w:space="0" w:color="auto"/>
        <w:left w:val="none" w:sz="0" w:space="0" w:color="auto"/>
        <w:bottom w:val="none" w:sz="0" w:space="0" w:color="auto"/>
        <w:right w:val="none" w:sz="0" w:space="0" w:color="auto"/>
      </w:divBdr>
      <w:divsChild>
        <w:div w:id="172692284">
          <w:marLeft w:val="0"/>
          <w:marRight w:val="0"/>
          <w:marTop w:val="0"/>
          <w:marBottom w:val="0"/>
          <w:divBdr>
            <w:top w:val="none" w:sz="0" w:space="0" w:color="auto"/>
            <w:left w:val="none" w:sz="0" w:space="0" w:color="auto"/>
            <w:bottom w:val="none" w:sz="0" w:space="0" w:color="auto"/>
            <w:right w:val="none" w:sz="0" w:space="0" w:color="auto"/>
          </w:divBdr>
          <w:divsChild>
            <w:div w:id="272372434">
              <w:marLeft w:val="0"/>
              <w:marRight w:val="0"/>
              <w:marTop w:val="0"/>
              <w:marBottom w:val="0"/>
              <w:divBdr>
                <w:top w:val="none" w:sz="0" w:space="0" w:color="auto"/>
                <w:left w:val="none" w:sz="0" w:space="0" w:color="auto"/>
                <w:bottom w:val="none" w:sz="0" w:space="0" w:color="auto"/>
                <w:right w:val="none" w:sz="0" w:space="0" w:color="auto"/>
              </w:divBdr>
              <w:divsChild>
                <w:div w:id="585724369">
                  <w:marLeft w:val="0"/>
                  <w:marRight w:val="0"/>
                  <w:marTop w:val="0"/>
                  <w:marBottom w:val="0"/>
                  <w:divBdr>
                    <w:top w:val="none" w:sz="0" w:space="0" w:color="auto"/>
                    <w:left w:val="none" w:sz="0" w:space="0" w:color="auto"/>
                    <w:bottom w:val="none" w:sz="0" w:space="0" w:color="auto"/>
                    <w:right w:val="none" w:sz="0" w:space="0" w:color="auto"/>
                  </w:divBdr>
                  <w:divsChild>
                    <w:div w:id="1079521921">
                      <w:marLeft w:val="0"/>
                      <w:marRight w:val="0"/>
                      <w:marTop w:val="0"/>
                      <w:marBottom w:val="0"/>
                      <w:divBdr>
                        <w:top w:val="none" w:sz="0" w:space="0" w:color="auto"/>
                        <w:left w:val="none" w:sz="0" w:space="0" w:color="auto"/>
                        <w:bottom w:val="none" w:sz="0" w:space="0" w:color="auto"/>
                        <w:right w:val="none" w:sz="0" w:space="0" w:color="auto"/>
                      </w:divBdr>
                      <w:divsChild>
                        <w:div w:id="27611337">
                          <w:marLeft w:val="0"/>
                          <w:marRight w:val="0"/>
                          <w:marTop w:val="0"/>
                          <w:marBottom w:val="0"/>
                          <w:divBdr>
                            <w:top w:val="none" w:sz="0" w:space="0" w:color="auto"/>
                            <w:left w:val="none" w:sz="0" w:space="0" w:color="auto"/>
                            <w:bottom w:val="none" w:sz="0" w:space="0" w:color="auto"/>
                            <w:right w:val="none" w:sz="0" w:space="0" w:color="auto"/>
                          </w:divBdr>
                          <w:divsChild>
                            <w:div w:id="1644698999">
                              <w:marLeft w:val="0"/>
                              <w:marRight w:val="0"/>
                              <w:marTop w:val="0"/>
                              <w:marBottom w:val="0"/>
                              <w:divBdr>
                                <w:top w:val="none" w:sz="0" w:space="0" w:color="auto"/>
                                <w:left w:val="none" w:sz="0" w:space="0" w:color="auto"/>
                                <w:bottom w:val="none" w:sz="0" w:space="0" w:color="auto"/>
                                <w:right w:val="none" w:sz="0" w:space="0" w:color="auto"/>
                              </w:divBdr>
                              <w:divsChild>
                                <w:div w:id="115032698">
                                  <w:marLeft w:val="0"/>
                                  <w:marRight w:val="0"/>
                                  <w:marTop w:val="0"/>
                                  <w:marBottom w:val="0"/>
                                  <w:divBdr>
                                    <w:top w:val="none" w:sz="0" w:space="0" w:color="auto"/>
                                    <w:left w:val="none" w:sz="0" w:space="0" w:color="auto"/>
                                    <w:bottom w:val="none" w:sz="0" w:space="0" w:color="auto"/>
                                    <w:right w:val="none" w:sz="0" w:space="0" w:color="auto"/>
                                  </w:divBdr>
                                  <w:divsChild>
                                    <w:div w:id="227691152">
                                      <w:marLeft w:val="0"/>
                                      <w:marRight w:val="0"/>
                                      <w:marTop w:val="0"/>
                                      <w:marBottom w:val="0"/>
                                      <w:divBdr>
                                        <w:top w:val="none" w:sz="0" w:space="0" w:color="auto"/>
                                        <w:left w:val="none" w:sz="0" w:space="0" w:color="auto"/>
                                        <w:bottom w:val="none" w:sz="0" w:space="0" w:color="auto"/>
                                        <w:right w:val="none" w:sz="0" w:space="0" w:color="auto"/>
                                      </w:divBdr>
                                      <w:divsChild>
                                        <w:div w:id="1125391903">
                                          <w:marLeft w:val="0"/>
                                          <w:marRight w:val="0"/>
                                          <w:marTop w:val="0"/>
                                          <w:marBottom w:val="0"/>
                                          <w:divBdr>
                                            <w:top w:val="none" w:sz="0" w:space="0" w:color="auto"/>
                                            <w:left w:val="none" w:sz="0" w:space="0" w:color="auto"/>
                                            <w:bottom w:val="none" w:sz="0" w:space="0" w:color="auto"/>
                                            <w:right w:val="none" w:sz="0" w:space="0" w:color="auto"/>
                                          </w:divBdr>
                                          <w:divsChild>
                                            <w:div w:id="15582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022827">
      <w:bodyDiv w:val="1"/>
      <w:marLeft w:val="0"/>
      <w:marRight w:val="0"/>
      <w:marTop w:val="0"/>
      <w:marBottom w:val="0"/>
      <w:divBdr>
        <w:top w:val="none" w:sz="0" w:space="0" w:color="auto"/>
        <w:left w:val="none" w:sz="0" w:space="0" w:color="auto"/>
        <w:bottom w:val="none" w:sz="0" w:space="0" w:color="auto"/>
        <w:right w:val="none" w:sz="0" w:space="0" w:color="auto"/>
      </w:divBdr>
      <w:divsChild>
        <w:div w:id="669067674">
          <w:marLeft w:val="0"/>
          <w:marRight w:val="0"/>
          <w:marTop w:val="0"/>
          <w:marBottom w:val="0"/>
          <w:divBdr>
            <w:top w:val="none" w:sz="0" w:space="0" w:color="auto"/>
            <w:left w:val="none" w:sz="0" w:space="0" w:color="auto"/>
            <w:bottom w:val="none" w:sz="0" w:space="0" w:color="auto"/>
            <w:right w:val="none" w:sz="0" w:space="0" w:color="auto"/>
          </w:divBdr>
          <w:divsChild>
            <w:div w:id="446199824">
              <w:marLeft w:val="0"/>
              <w:marRight w:val="0"/>
              <w:marTop w:val="0"/>
              <w:marBottom w:val="0"/>
              <w:divBdr>
                <w:top w:val="none" w:sz="0" w:space="0" w:color="auto"/>
                <w:left w:val="none" w:sz="0" w:space="0" w:color="auto"/>
                <w:bottom w:val="none" w:sz="0" w:space="0" w:color="auto"/>
                <w:right w:val="none" w:sz="0" w:space="0" w:color="auto"/>
              </w:divBdr>
              <w:divsChild>
                <w:div w:id="50689089">
                  <w:marLeft w:val="0"/>
                  <w:marRight w:val="0"/>
                  <w:marTop w:val="0"/>
                  <w:marBottom w:val="0"/>
                  <w:divBdr>
                    <w:top w:val="none" w:sz="0" w:space="0" w:color="auto"/>
                    <w:left w:val="none" w:sz="0" w:space="0" w:color="auto"/>
                    <w:bottom w:val="none" w:sz="0" w:space="0" w:color="auto"/>
                    <w:right w:val="none" w:sz="0" w:space="0" w:color="auto"/>
                  </w:divBdr>
                  <w:divsChild>
                    <w:div w:id="340549912">
                      <w:marLeft w:val="0"/>
                      <w:marRight w:val="0"/>
                      <w:marTop w:val="0"/>
                      <w:marBottom w:val="0"/>
                      <w:divBdr>
                        <w:top w:val="none" w:sz="0" w:space="0" w:color="auto"/>
                        <w:left w:val="none" w:sz="0" w:space="0" w:color="auto"/>
                        <w:bottom w:val="none" w:sz="0" w:space="0" w:color="auto"/>
                        <w:right w:val="none" w:sz="0" w:space="0" w:color="auto"/>
                      </w:divBdr>
                      <w:divsChild>
                        <w:div w:id="608204559">
                          <w:marLeft w:val="0"/>
                          <w:marRight w:val="0"/>
                          <w:marTop w:val="0"/>
                          <w:marBottom w:val="0"/>
                          <w:divBdr>
                            <w:top w:val="none" w:sz="0" w:space="0" w:color="auto"/>
                            <w:left w:val="none" w:sz="0" w:space="0" w:color="auto"/>
                            <w:bottom w:val="none" w:sz="0" w:space="0" w:color="auto"/>
                            <w:right w:val="none" w:sz="0" w:space="0" w:color="auto"/>
                          </w:divBdr>
                          <w:divsChild>
                            <w:div w:id="1340036056">
                              <w:marLeft w:val="0"/>
                              <w:marRight w:val="0"/>
                              <w:marTop w:val="0"/>
                              <w:marBottom w:val="0"/>
                              <w:divBdr>
                                <w:top w:val="none" w:sz="0" w:space="0" w:color="auto"/>
                                <w:left w:val="none" w:sz="0" w:space="0" w:color="auto"/>
                                <w:bottom w:val="none" w:sz="0" w:space="0" w:color="auto"/>
                                <w:right w:val="none" w:sz="0" w:space="0" w:color="auto"/>
                              </w:divBdr>
                              <w:divsChild>
                                <w:div w:id="1443380107">
                                  <w:marLeft w:val="0"/>
                                  <w:marRight w:val="0"/>
                                  <w:marTop w:val="0"/>
                                  <w:marBottom w:val="0"/>
                                  <w:divBdr>
                                    <w:top w:val="none" w:sz="0" w:space="0" w:color="auto"/>
                                    <w:left w:val="none" w:sz="0" w:space="0" w:color="auto"/>
                                    <w:bottom w:val="none" w:sz="0" w:space="0" w:color="auto"/>
                                    <w:right w:val="none" w:sz="0" w:space="0" w:color="auto"/>
                                  </w:divBdr>
                                  <w:divsChild>
                                    <w:div w:id="89086594">
                                      <w:marLeft w:val="0"/>
                                      <w:marRight w:val="0"/>
                                      <w:marTop w:val="0"/>
                                      <w:marBottom w:val="0"/>
                                      <w:divBdr>
                                        <w:top w:val="none" w:sz="0" w:space="0" w:color="auto"/>
                                        <w:left w:val="none" w:sz="0" w:space="0" w:color="auto"/>
                                        <w:bottom w:val="none" w:sz="0" w:space="0" w:color="auto"/>
                                        <w:right w:val="none" w:sz="0" w:space="0" w:color="auto"/>
                                      </w:divBdr>
                                      <w:divsChild>
                                        <w:div w:id="749892583">
                                          <w:marLeft w:val="0"/>
                                          <w:marRight w:val="0"/>
                                          <w:marTop w:val="0"/>
                                          <w:marBottom w:val="0"/>
                                          <w:divBdr>
                                            <w:top w:val="none" w:sz="0" w:space="0" w:color="auto"/>
                                            <w:left w:val="none" w:sz="0" w:space="0" w:color="auto"/>
                                            <w:bottom w:val="none" w:sz="0" w:space="0" w:color="auto"/>
                                            <w:right w:val="none" w:sz="0" w:space="0" w:color="auto"/>
                                          </w:divBdr>
                                          <w:divsChild>
                                            <w:div w:id="19318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637668">
      <w:bodyDiv w:val="1"/>
      <w:marLeft w:val="0"/>
      <w:marRight w:val="0"/>
      <w:marTop w:val="0"/>
      <w:marBottom w:val="0"/>
      <w:divBdr>
        <w:top w:val="none" w:sz="0" w:space="0" w:color="auto"/>
        <w:left w:val="none" w:sz="0" w:space="0" w:color="auto"/>
        <w:bottom w:val="none" w:sz="0" w:space="0" w:color="auto"/>
        <w:right w:val="none" w:sz="0" w:space="0" w:color="auto"/>
      </w:divBdr>
    </w:div>
    <w:div w:id="1721635643">
      <w:bodyDiv w:val="1"/>
      <w:marLeft w:val="0"/>
      <w:marRight w:val="0"/>
      <w:marTop w:val="0"/>
      <w:marBottom w:val="0"/>
      <w:divBdr>
        <w:top w:val="none" w:sz="0" w:space="0" w:color="auto"/>
        <w:left w:val="none" w:sz="0" w:space="0" w:color="auto"/>
        <w:bottom w:val="none" w:sz="0" w:space="0" w:color="auto"/>
        <w:right w:val="none" w:sz="0" w:space="0" w:color="auto"/>
      </w:divBdr>
    </w:div>
    <w:div w:id="1722052494">
      <w:bodyDiv w:val="1"/>
      <w:marLeft w:val="0"/>
      <w:marRight w:val="0"/>
      <w:marTop w:val="0"/>
      <w:marBottom w:val="0"/>
      <w:divBdr>
        <w:top w:val="none" w:sz="0" w:space="0" w:color="auto"/>
        <w:left w:val="none" w:sz="0" w:space="0" w:color="auto"/>
        <w:bottom w:val="none" w:sz="0" w:space="0" w:color="auto"/>
        <w:right w:val="none" w:sz="0" w:space="0" w:color="auto"/>
      </w:divBdr>
    </w:div>
    <w:div w:id="1999727528">
      <w:bodyDiv w:val="1"/>
      <w:marLeft w:val="0"/>
      <w:marRight w:val="0"/>
      <w:marTop w:val="0"/>
      <w:marBottom w:val="0"/>
      <w:divBdr>
        <w:top w:val="none" w:sz="0" w:space="0" w:color="auto"/>
        <w:left w:val="none" w:sz="0" w:space="0" w:color="auto"/>
        <w:bottom w:val="none" w:sz="0" w:space="0" w:color="auto"/>
        <w:right w:val="none" w:sz="0" w:space="0" w:color="auto"/>
      </w:divBdr>
    </w:div>
    <w:div w:id="206105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A240A-9F38-436B-9E1E-696E593D7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1277</Words>
  <Characters>7540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2022-03-09T06:57:00Z</dcterms:created>
  <dcterms:modified xsi:type="dcterms:W3CDTF">2022-03-09T07:42:00Z</dcterms:modified>
</cp:coreProperties>
</file>